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5 -->
  <w:body>
    <w:p>
      <w:pPr>
        <w:tabs>
          <w:tab w:val="left" w:pos="-1428"/>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8"/>
        </w:rPr>
      </w:pPr>
      <w:r>
        <w:rPr>
          <w:rFonts w:ascii="Times New Roman" w:hAnsi="Times New Roman" w:cs="Times New Roman"/>
        </w:rPr>
        <w:fldChar w:fldCharType="begin"/>
      </w:r>
      <w:r>
        <w:rPr>
          <w:rFonts w:ascii="Times New Roman" w:hAnsi="Times New Roman" w:cs="Times New Roman"/>
        </w:rPr>
        <w:instrText xml:space="preserve"> SEQ CHAPTER \h \r 1</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b/>
          <w:sz w:val="28"/>
        </w:rPr>
        <w:t>50 State Survey</w:t>
      </w:r>
    </w:p>
    <w:p>
      <w:pPr>
        <w:tabs>
          <w:tab w:val="left" w:pos="-1428"/>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8"/>
        </w:rPr>
      </w:pPr>
      <w:r>
        <w:rPr>
          <w:rFonts w:ascii="Times New Roman" w:hAnsi="Times New Roman" w:cs="Times New Roman"/>
          <w:b/>
          <w:sz w:val="28"/>
        </w:rPr>
        <w:t>Does RPC Rule 1.7 Disqualify Insurance Defense Counsel</w:t>
      </w:r>
    </w:p>
    <w:p>
      <w:pPr>
        <w:tabs>
          <w:tab w:val="left" w:pos="-1428"/>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8"/>
        </w:rPr>
      </w:pPr>
      <w:r>
        <w:rPr>
          <w:rFonts w:ascii="Times New Roman" w:hAnsi="Times New Roman" w:cs="Times New Roman"/>
          <w:b/>
          <w:sz w:val="28"/>
        </w:rPr>
        <w:t>and Require Liability Insurers to Pay Independent Counsel</w:t>
      </w:r>
    </w:p>
    <w:p>
      <w:pPr>
        <w:tabs>
          <w:tab w:val="left" w:pos="-1428"/>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8"/>
        </w:rPr>
      </w:pPr>
      <w:r>
        <w:rPr>
          <w:rFonts w:ascii="Times New Roman" w:hAnsi="Times New Roman" w:cs="Times New Roman"/>
          <w:b/>
          <w:sz w:val="28"/>
        </w:rPr>
        <w:t>When Reserving Rights to Deny Coverage?</w:t>
      </w:r>
    </w:p>
    <w:p>
      <w:pPr>
        <w:tabs>
          <w:tab w:val="left" w:pos="-1428"/>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pPr>
        <w:tabs>
          <w:tab w:val="left" w:pos="-1428"/>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sectPr>
          <w:headerReference w:type="even" r:id="rId5"/>
          <w:headerReference w:type="default" r:id="rId6"/>
          <w:footerReference w:type="even" r:id="rId7"/>
          <w:footerReference w:type="default" r:id="rId8"/>
          <w:endnotePr>
            <w:numFmt w:val="decimal"/>
          </w:endnotePr>
          <w:pgSz w:w="12240" w:h="15840"/>
          <w:pgMar w:top="1440" w:right="1440" w:bottom="1290" w:left="1440" w:header="720" w:footer="810" w:gutter="0"/>
          <w:cols w:space="720"/>
          <w:bidi w:val="0"/>
        </w:sectPr>
      </w:pPr>
    </w:p>
    <w:p>
      <w:pPr>
        <w:tabs>
          <w:tab w:val="left" w:pos="-1428"/>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rPr>
      </w:pPr>
      <w:r>
        <w:rPr>
          <w:rFonts w:ascii="Times New Roman" w:hAnsi="Times New Roman" w:cs="Times New Roman"/>
          <w:b/>
        </w:rPr>
        <w:t>Preface</w:t>
      </w:r>
    </w:p>
    <w:p>
      <w:pPr>
        <w:tabs>
          <w:tab w:val="left" w:pos="-1428"/>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rPr>
      </w:pPr>
      <w:r>
        <w:rPr>
          <w:rFonts w:ascii="Times New Roman" w:hAnsi="Times New Roman" w:cs="Times New Roman"/>
        </w:rPr>
        <w:t>“The mandatory rule of [lawyer] disqualification in cases of dual representations - analogous to the biblical injunction against ‘serving two masters’ (Matthew 6:24) - is self-evident.” (</w:t>
      </w:r>
      <w:r>
        <w:rPr>
          <w:rFonts w:ascii="Times New Roman" w:hAnsi="Times New Roman" w:cs="Times New Roman"/>
          <w:i/>
        </w:rPr>
        <w:t>Flatt v. Superior Court</w:t>
      </w:r>
      <w:r>
        <w:rPr>
          <w:rFonts w:ascii="Times New Roman" w:hAnsi="Times New Roman" w:cs="Times New Roman"/>
        </w:rPr>
        <w:t>, 9 Cal.4th 275, 286 (1994) (ellipses omitted).)</w:t>
      </w:r>
    </w:p>
    <w:p>
      <w:pPr>
        <w:tabs>
          <w:tab w:val="left" w:pos="-1428"/>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rPr>
        <w:sectPr>
          <w:headerReference w:type="even" r:id="rId9"/>
          <w:headerReference w:type="default" r:id="rId10"/>
          <w:footerReference w:type="even" r:id="rId11"/>
          <w:footerReference w:type="default" r:id="rId12"/>
          <w:endnotePr>
            <w:numFmt w:val="decimal"/>
          </w:endnotePr>
          <w:type w:val="continuous"/>
          <w:pgSz w:w="12240" w:h="15840"/>
          <w:pgMar w:top="1920" w:right="2970" w:bottom="1290" w:left="2970" w:header="1440" w:footer="810" w:gutter="0"/>
          <w:cols w:space="720"/>
          <w:bidi w:val="0"/>
        </w:sectPr>
      </w:pPr>
    </w:p>
    <w:p>
      <w:pPr>
        <w:tabs>
          <w:tab w:val="left" w:pos="-1428"/>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rPr>
      </w:pPr>
    </w:p>
    <w:p>
      <w:pPr>
        <w:tabs>
          <w:tab w:val="left" w:pos="-1428"/>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sectPr>
          <w:headerReference w:type="even" r:id="rId13"/>
          <w:headerReference w:type="default" r:id="rId14"/>
          <w:footerReference w:type="even" r:id="rId15"/>
          <w:footerReference w:type="default" r:id="rId16"/>
          <w:endnotePr>
            <w:numFmt w:val="decimal"/>
          </w:endnotePr>
          <w:type w:val="continuous"/>
          <w:pgSz w:w="12240" w:h="15840"/>
          <w:pgMar w:top="1920" w:right="1440" w:bottom="1290" w:left="2970" w:header="1440" w:footer="810" w:gutter="0"/>
          <w:cols w:space="720"/>
          <w:bidi w:val="0"/>
        </w:sectPr>
      </w:pPr>
    </w:p>
    <w:p>
      <w:pPr>
        <w:tabs>
          <w:tab w:val="left" w:pos="-1428"/>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Introduction</w:t>
      </w:r>
    </w:p>
    <w:p>
      <w:pPr>
        <w:tabs>
          <w:tab w:val="left" w:pos="-1428"/>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This survey</w:t>
      </w:r>
      <w:r>
        <w:rPr>
          <w:rStyle w:val="FootnoteReference"/>
          <w:rFonts w:ascii="Times New Roman" w:hAnsi="Times New Roman" w:cs="Times New Roman"/>
          <w:rtl w:val="0"/>
        </w:rPr>
        <w:footnoteReference w:id="0"/>
      </w:r>
      <w:r>
        <w:rPr>
          <w:rFonts w:ascii="Times New Roman" w:hAnsi="Times New Roman" w:cs="Times New Roman"/>
        </w:rPr>
        <w:t xml:space="preserve"> collects published opinions and other authorities from all American jurisdictions addressing whether a liability insurer that reserves its rights to later deny coverage disqualifies the insurer’s regular panel counsel (here called “</w:t>
      </w:r>
      <w:r>
        <w:rPr>
          <w:rFonts w:ascii="Times New Roman" w:hAnsi="Times New Roman" w:cs="Times New Roman"/>
          <w:b/>
        </w:rPr>
        <w:t>de</w:t>
      </w:r>
      <w:r>
        <w:rPr>
          <w:rFonts w:ascii="Times New Roman" w:hAnsi="Times New Roman" w:cs="Times New Roman"/>
        </w:rPr>
        <w:t>pendent counsel”)</w:t>
      </w:r>
      <w:r>
        <w:rPr>
          <w:rStyle w:val="FootnoteReference"/>
          <w:rFonts w:ascii="Times New Roman" w:hAnsi="Times New Roman" w:cs="Times New Roman"/>
          <w:rtl w:val="0"/>
        </w:rPr>
        <w:footnoteReference w:id="1"/>
      </w:r>
      <w:r>
        <w:rPr>
          <w:rFonts w:ascii="Times New Roman" w:hAnsi="Times New Roman" w:cs="Times New Roman"/>
        </w:rPr>
        <w:t xml:space="preserve"> from ethically representing the policyholder, and therefore must pay for independent counsel to defend its policyholder. This body of law is rooted in Rules of Professional Conduct, Rule 1.7, which restricts lawyers from representing dual clients with potentially conflicting interests without adhering to a protocol culminating in obtaining the clients’ informed written consent. Fifty jurisdictions have weighed in on this issue with three “rules”: one where the policyholder is the default winner, one where the insurer is the default winner, and one that requires the application of a “test”. But many jurisdictions enunciate only vague summary dicta, making it difficult how they may decide in the future is the issue is properly framed by counsel.</w:t>
      </w:r>
    </w:p>
    <w:p>
      <w:pPr>
        <w:tabs>
          <w:tab w:val="left" w:pos="-1428"/>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rationale at the heart of this body of law is Rules of Professional Conduct, Rule 1.7, which provides that a lawyer shall not, without informed written consent from each client represent a policyholder if the representation is unlawful, or may be materially limited by the insurer or by the lawyer’s own interests, or the insurer and policyholder are directly adverse, even if the lawyer reasonably believes subjectively that s/he can provide competent and diligent representation.</w:t>
      </w:r>
    </w:p>
    <w:p>
      <w:pPr>
        <w:tabs>
          <w:tab w:val="left" w:pos="-1428"/>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This body of law forms at the confluence of two prophylactic obligations whose goal is the preservation of procedural due process of law: 1) panel counsel’s prophylactic obligation to </w:t>
      </w:r>
      <w:r>
        <w:rPr>
          <w:rFonts w:ascii="Times New Roman" w:hAnsi="Times New Roman" w:cs="Times New Roman"/>
          <w:b/>
        </w:rPr>
        <w:t>not</w:t>
      </w:r>
      <w:r>
        <w:rPr>
          <w:rFonts w:ascii="Times New Roman" w:hAnsi="Times New Roman" w:cs="Times New Roman"/>
        </w:rPr>
        <w:t xml:space="preserve"> accept an unethically engagement (</w:t>
      </w:r>
      <w:r>
        <w:rPr>
          <w:rFonts w:ascii="Times New Roman" w:hAnsi="Times New Roman" w:cs="Times New Roman"/>
          <w:i/>
        </w:rPr>
        <w:t>Santa Clara County Counsel Attorneys Assn. v. Woodside</w:t>
      </w:r>
      <w:r>
        <w:rPr>
          <w:rFonts w:ascii="Times New Roman" w:hAnsi="Times New Roman" w:cs="Times New Roman"/>
        </w:rPr>
        <w:t xml:space="preserve"> 7 Cal.4th 525, 546 (1994)); and 2) the liability insurer’s “prophylactic duty to defend” through ethical counsel. (</w:t>
      </w:r>
      <w:r>
        <w:rPr>
          <w:rFonts w:ascii="Times New Roman" w:hAnsi="Times New Roman" w:cs="Times New Roman"/>
          <w:i/>
        </w:rPr>
        <w:t>Aerojet-General Corp. v. Transport Indemnity Co.</w:t>
      </w:r>
      <w:r>
        <w:rPr>
          <w:rFonts w:ascii="Times New Roman" w:hAnsi="Times New Roman" w:cs="Times New Roman"/>
        </w:rPr>
        <w:t xml:space="preserve"> 17 Cal.4th 38, 60</w:t>
      </w:r>
      <w:r>
        <w:rPr>
          <w:rFonts w:ascii="Times New Roman" w:hAnsi="Times New Roman" w:cs="Times New Roman"/>
          <w:i/>
        </w:rPr>
        <w:t xml:space="preserve"> </w:t>
      </w:r>
      <w:r>
        <w:rPr>
          <w:rFonts w:ascii="Times New Roman" w:hAnsi="Times New Roman" w:cs="Times New Roman"/>
        </w:rPr>
        <w:t>(1997)).</w:t>
      </w:r>
    </w:p>
    <w:p>
      <w:pPr>
        <w:tabs>
          <w:tab w:val="left" w:pos="-1428"/>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 consequence of violating the law is that the insurer must pay for independent counsel to represent the policyholder. However, the law is not well developed regarding the consequences to the insurer or panel counsel when the insurer reserves rights, wrongfully engages panel counsel, which counsel wrongfully accepts the engagement and the policyholder does not engage independent counsel.</w:t>
      </w:r>
      <w:r>
        <w:rPr>
          <w:rStyle w:val="FootnoteReference"/>
          <w:rFonts w:ascii="Times New Roman" w:hAnsi="Times New Roman" w:cs="Times New Roman"/>
          <w:rtl w:val="0"/>
        </w:rPr>
        <w:footnoteReference w:id="2"/>
      </w:r>
    </w:p>
    <w:p>
      <w:pPr>
        <w:tabs>
          <w:tab w:val="left" w:pos="-1428"/>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recently published Restatement of Liability Insurance describes the types of reservations of rights that disqualify dependent counsel and require a reserving insurer to pay for independent counsel. “When an insurer with the duty to defend provides the insured notice of a ground for contesting coverage under §15 and there are facts at issue that are common to the legal action for which the defense is due and to the coverage dispute, such that the action could be defended in a manner that would benefit the insurer at the expense of the insured, the insurer must provide an independent defense of the action.” (Rest. Liab. Ins. §16. The Obligation to Provide an Independent Defense.) California’s Cumis Test is: “It is only when the basis for the reservation of rights is such as to cause assertion of factual or legal theories which undermine or are contrary to the positions to be asserted in the liability case that a conflict of interest sufficient to require independent counsel, to be chosen by the insured, will arise.” (</w:t>
      </w:r>
      <w:r>
        <w:rPr>
          <w:rFonts w:ascii="Times New Roman" w:hAnsi="Times New Roman" w:cs="Times New Roman"/>
          <w:i/>
        </w:rPr>
        <w:t>State Farm Fire &amp; Cas. Co. v. Superior Court</w:t>
      </w:r>
      <w:r>
        <w:rPr>
          <w:rFonts w:ascii="Times New Roman" w:hAnsi="Times New Roman" w:cs="Times New Roman"/>
        </w:rPr>
        <w:t xml:space="preserve"> 216 Cal.App.3d 1222, 1226, fn.3 (1989).)</w:t>
      </w:r>
    </w:p>
    <w:p>
      <w:pPr>
        <w:tabs>
          <w:tab w:val="left" w:pos="-1428"/>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This article was last updated on November 29, 2020.</w:t>
      </w:r>
    </w:p>
    <w:p>
      <w:pPr>
        <w:tabs>
          <w:tab w:val="left" w:pos="-1428"/>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 table of contents and table of authorities follow the survey.</w:t>
      </w:r>
    </w:p>
    <w:p>
      <w:pPr>
        <w:tabs>
          <w:tab w:val="left" w:pos="-1428"/>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rPr>
        <w:tab/>
      </w:r>
      <w:r>
        <w:rPr>
          <w:rFonts w:ascii="Times New Roman" w:hAnsi="Times New Roman" w:cs="Times New Roman"/>
          <w:b/>
        </w:rPr>
        <w:t>1.</w:t>
        <w:tab/>
        <w:t>Three “Rules” Emerge Among the Jurisdictions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A reading of all of the cases collected here reveals, in the opinion of the editor, three broad categories of decisions, with a caveat that it is difficult to predict how some jurisdictions may decide “next time”. In order of numerosity these categories are: 1) the </w:t>
      </w:r>
      <w:r>
        <w:rPr>
          <w:rFonts w:ascii="Times New Roman" w:hAnsi="Times New Roman" w:cs="Times New Roman"/>
          <w:b/>
        </w:rPr>
        <w:t>Restatement</w:t>
      </w:r>
      <w:r>
        <w:rPr>
          <w:rFonts w:ascii="Times New Roman" w:hAnsi="Times New Roman" w:cs="Times New Roman"/>
        </w:rPr>
        <w:t xml:space="preserve"> rule (stated above); 2) the “</w:t>
      </w:r>
      <w:r>
        <w:rPr>
          <w:rFonts w:ascii="Times New Roman" w:hAnsi="Times New Roman" w:cs="Times New Roman"/>
          <w:b/>
        </w:rPr>
        <w:t>per se</w:t>
      </w:r>
      <w:r>
        <w:rPr>
          <w:rFonts w:ascii="Times New Roman" w:hAnsi="Times New Roman" w:cs="Times New Roman"/>
        </w:rPr>
        <w:t>” rule that all reservations of rights always disqualify dependent counsel; and 3) the “</w:t>
      </w:r>
      <w:r>
        <w:rPr>
          <w:rFonts w:ascii="Times New Roman" w:hAnsi="Times New Roman" w:cs="Times New Roman"/>
          <w:b/>
        </w:rPr>
        <w:t>enhanced duties</w:t>
      </w:r>
      <w:r>
        <w:rPr>
          <w:rFonts w:ascii="Times New Roman" w:hAnsi="Times New Roman" w:cs="Times New Roman"/>
        </w:rPr>
        <w:t xml:space="preserve">” rule that no reservation of rights automatically disqualifies dependent counsel, but both the reserving insurer and dependent counsel have “enhanced duties” of ethics and good faith. While many jurisdictions could be placed in the “per se” category, they appear to be </w:t>
      </w:r>
      <w:r>
        <w:rPr>
          <w:rFonts w:ascii="Times New Roman" w:hAnsi="Times New Roman" w:cs="Times New Roman"/>
          <w:b/>
        </w:rPr>
        <w:t>in search of an articulate rule</w:t>
      </w:r>
      <w:r>
        <w:rPr>
          <w:rFonts w:ascii="Times New Roman" w:hAnsi="Times New Roman" w:cs="Times New Roman"/>
        </w:rPr>
        <w:t xml:space="preserve"> to adopt thoughtfully. Many of these jurisdictions have stated only cryptic, summary dicta (ie. Wyoming: “[A]n insurer who reserves the right to deny coverage loses the right to control the litigation.”)</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Rule 1.7 contemplates that all lawyers representing multiple clients must always thoroughly investigate whether those clients have potentially conflicting interests, always conduct a thorough analysis of potential conflicts of interest, and always make written disclosure to all clients of the analysis. However, American jurisdictions vary as to whether dependent counsel must obtain the policyholder’s informed written consent when a liability insurer reserves its right to later deny coverage. Also, real world experience suggests that reserving insurers and their dependent counsel do not always follow the rules. A matrix of the rules follows: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Times New Roman" w:hAnsi="Times New Roman" w:cs="Times New Roman"/>
        </w:rPr>
      </w:pPr>
      <w:r>
        <w:rPr>
          <w:rFonts w:ascii="Times New Roman" w:hAnsi="Times New Roman" w:cs="Times New Roman"/>
        </w:rPr>
        <w:tab/>
        <w:tab/>
        <w:tab/>
      </w:r>
      <w:r>
        <w:rPr>
          <w:rFonts w:ascii="Times New Roman" w:hAnsi="Times New Roman" w:cs="Times New Roman"/>
          <w:b/>
        </w:rPr>
        <w:t>“Per se” Rule</w:t>
        <w:tab/>
        <w:t>Restatement Rule</w:t>
        <w:tab/>
        <w:t>Enhanced Duties Rule</w:t>
        <w:tab/>
        <w:t>Practice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Times New Roman" w:hAnsi="Times New Roman" w:cs="Times New Roman"/>
        </w:rPr>
      </w:pPr>
      <w:r>
        <w:rPr>
          <w:rFonts w:ascii="Times New Roman" w:hAnsi="Times New Roman" w:cs="Times New Roman"/>
          <w:b/>
        </w:rPr>
        <w:t>Investigate:</w:t>
      </w:r>
      <w:r>
        <w:rPr>
          <w:rFonts w:ascii="Times New Roman" w:hAnsi="Times New Roman" w:cs="Times New Roman"/>
        </w:rPr>
        <w:tab/>
        <w:t>ALWAYS</w:t>
        <w:tab/>
        <w:tab/>
        <w:t>ALWAYS</w:t>
        <w:tab/>
        <w:tab/>
        <w:t>ALWAYS</w:t>
        <w:tab/>
        <w:tab/>
        <w:t>NEVER?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Times New Roman" w:hAnsi="Times New Roman" w:cs="Times New Roman"/>
        </w:rPr>
      </w:pPr>
      <w:r>
        <w:rPr>
          <w:rFonts w:ascii="Times New Roman" w:hAnsi="Times New Roman" w:cs="Times New Roman"/>
          <w:b/>
        </w:rPr>
        <w:t>Analyze:</w:t>
      </w:r>
      <w:r>
        <w:rPr>
          <w:rFonts w:ascii="Times New Roman" w:hAnsi="Times New Roman" w:cs="Times New Roman"/>
        </w:rPr>
        <w:tab/>
        <w:tab/>
        <w:t>ALWAYS</w:t>
        <w:tab/>
        <w:tab/>
        <w:t>ALWAYS</w:t>
        <w:tab/>
        <w:tab/>
        <w:t>ALWAYS</w:t>
        <w:tab/>
        <w:tab/>
        <w:t>NEVER?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Times New Roman" w:hAnsi="Times New Roman" w:cs="Times New Roman"/>
        </w:rPr>
      </w:pPr>
      <w:r>
        <w:rPr>
          <w:rFonts w:ascii="Times New Roman" w:hAnsi="Times New Roman" w:cs="Times New Roman"/>
          <w:b/>
        </w:rPr>
        <w:t>Disclose:</w:t>
      </w:r>
      <w:r>
        <w:rPr>
          <w:rFonts w:ascii="Times New Roman" w:hAnsi="Times New Roman" w:cs="Times New Roman"/>
        </w:rPr>
        <w:tab/>
        <w:tab/>
        <w:t>ALWAYS</w:t>
        <w:tab/>
        <w:tab/>
        <w:t>ALWAYS</w:t>
        <w:tab/>
        <w:tab/>
        <w:t>ALWAYS</w:t>
        <w:tab/>
        <w:tab/>
        <w:t>NEVER?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Times New Roman" w:hAnsi="Times New Roman" w:cs="Times New Roman"/>
        </w:rPr>
      </w:pPr>
      <w:r>
        <w:rPr>
          <w:rFonts w:ascii="Times New Roman" w:hAnsi="Times New Roman" w:cs="Times New Roman"/>
          <w:b/>
        </w:rPr>
        <w:t>Consent:</w:t>
      </w:r>
      <w:r>
        <w:rPr>
          <w:rFonts w:ascii="Times New Roman" w:hAnsi="Times New Roman" w:cs="Times New Roman"/>
        </w:rPr>
        <w:tab/>
        <w:tab/>
        <w:t>ALWAYS</w:t>
        <w:tab/>
        <w:tab/>
        <w:t>SOMETIMES</w:t>
        <w:tab/>
        <w:tab/>
        <w:t>NEVER</w:t>
        <w:tab/>
        <w:tab/>
        <w:tab/>
        <w:t>NEVER?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rPr>
        <w:tab/>
      </w:r>
      <w:r>
        <w:rPr>
          <w:rFonts w:ascii="Times New Roman" w:hAnsi="Times New Roman" w:cs="Times New Roman"/>
          <w:b/>
        </w:rPr>
        <w:t>2.</w:t>
        <w:tab/>
        <w:t>Editor’s Subjective Critique of Each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In the opinion of the editor, the jurisdiction placed in the “per se” rule category are simply waiting for competent counsel to properly frame the issue to state an articulate, thoughtful reported decision.</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“per se” rule which always disqualifies dependent counsel and always requires all reserving insurers to always pay independent counsel is too rigid. Insurers may warn their policyholders of coverage limitations do so with what they frequently call a “non-waiver” or “reservation of rights”. However, if the insurer reserves its rights because the policyholder failed to pay the premium, or must pay the deductible, or has a duty to cooperate do not generally burden dependent counsel with an ethically disqualifying conflict of interest.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“enhanced duties” rule does not withstand logical scrutiny. For example, Hawaii accepts that a reservation of rights always creates conflicts of interest, but declines to adopt the “per se” because it has faith the reserving insurers and ethically conflicted dependent counsel can be trusted to direct the defense as though the policyholder was counsel’s only client. Thus Hawaii opts for a remedial rule, not a prophylactic one, inviting multiplicity of litigation for the aggrieved policyholder to sue for “(1) professional malpractice; (2) bad faith; and (3) estoppel of the insurer to deny indemnification. [T]he insurer may also be liable if its actions caused the attorney’s breach of its duties.” However as a practical matter, an attempt to unwind an entire lawsuit to imagine how it might have resulted in a different outcome is as difficult as it is to extract a whole, viable egg from a baked cake. Also, both insurers and their lawyers have duties of good faith and disclosure to the policyholder of the “highest order”, so that enhancing these duties does nothing to augment them.</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“Restatement” rule is the Goldilocks solution. Unlike the “per se” rule, the Restatement recognizes that it simply is not conceivable possible for dependent counsel to do or fail to do anything to impact, for example whether the policyholder paid the premium, or will pay the deductible, or will show up and testify truthfully in compliance with the cooperation clause. Unlike the “enhances duties” rule, the Restatement rule protects procedural due process of law that only ethical counsel may guide the policyholder through the procedures of resolving the third party liability dispute to an outcome that is trustworthy for the injured plaintiff, the policyholder, and the court system. While a reserving insurer may not control independent counsel, it may appoint its own lawyers to monitor the process to be assured that the outcome is just.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Although development of the law in this field is too slow to identify any clear “trend”, the Restatement, Nevada and Indiana have recently issued thoughtful solutions. In contrast, no published opinion in this decade has adopted the “enhanced duties” rule. Following the development of the Restatement, if jurisdictions continue to adopt the “per se” rule, lawyers framing the issue for the court may just be confused or lazy.</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rPr>
        <w:tab/>
      </w:r>
      <w:r>
        <w:rPr>
          <w:rFonts w:ascii="Times New Roman" w:hAnsi="Times New Roman" w:cs="Times New Roman"/>
          <w:b/>
        </w:rPr>
        <w:t>3.</w:t>
        <w:tab/>
        <w:t>The Practical Application of the Law</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This survey should help illuminate which “rule” a jurisdiction has in the past or may in the future apply when a liability insurer reserves its rights to later deny coverage. But this body of law begs important questions: What are the consequences for an insurer and/or dependent counsel who violate a jurisdiction’s “rule”? Should policyholders seek prophylactic or remedial solutions to push back? How might the courts develop “teeth” to enforce this body of law.</w:t>
      </w:r>
      <w:r>
        <w:rPr>
          <w:rStyle w:val="FootnoteReference"/>
          <w:rFonts w:ascii="Times New Roman" w:hAnsi="Times New Roman" w:cs="Times New Roman"/>
          <w:rtl w:val="0"/>
        </w:rPr>
        <w:footnoteReference w:id="3"/>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Several themes emerge from reading the cases collected here: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rPr>
        <w:tab/>
      </w:r>
      <w:r>
        <w:rPr>
          <w:rFonts w:ascii="Times New Roman" w:hAnsi="Times New Roman" w:cs="Times New Roman"/>
          <w:b/>
        </w:rPr>
        <w:t>4.</w:t>
        <w:tab/>
        <w:t>Three Tussles, Each With Separate Governing Laws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The tumult arising from a reservation of rights requires examination of three tiffs: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a) the </w:t>
      </w:r>
      <w:r>
        <w:rPr>
          <w:rFonts w:ascii="Times New Roman" w:hAnsi="Times New Roman" w:cs="Times New Roman"/>
          <w:i/>
        </w:rPr>
        <w:t>liability dispute</w:t>
      </w:r>
      <w:r>
        <w:rPr>
          <w:rFonts w:ascii="Times New Roman" w:hAnsi="Times New Roman" w:cs="Times New Roman"/>
        </w:rPr>
        <w:t xml:space="preserve"> by and injured plaintiff against a policyholder/defendant is often governed by </w:t>
      </w:r>
      <w:r>
        <w:rPr>
          <w:rFonts w:ascii="Times New Roman" w:hAnsi="Times New Roman" w:cs="Times New Roman"/>
          <w:i/>
        </w:rPr>
        <w:t>tort law</w:t>
      </w:r>
      <w:r>
        <w:rPr>
          <w:rFonts w:ascii="Times New Roman" w:hAnsi="Times New Roman" w:cs="Times New Roman"/>
        </w:rPr>
        <w:t xml:space="preserve">;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b) a </w:t>
      </w:r>
      <w:r>
        <w:rPr>
          <w:rFonts w:ascii="Times New Roman" w:hAnsi="Times New Roman" w:cs="Times New Roman"/>
          <w:i/>
        </w:rPr>
        <w:t>coverage contest</w:t>
      </w:r>
      <w:r>
        <w:rPr>
          <w:rFonts w:ascii="Times New Roman" w:hAnsi="Times New Roman" w:cs="Times New Roman"/>
        </w:rPr>
        <w:t xml:space="preserve"> by an insurer against its policyholder is mostly governed by </w:t>
      </w:r>
      <w:r>
        <w:rPr>
          <w:rFonts w:ascii="Times New Roman" w:hAnsi="Times New Roman" w:cs="Times New Roman"/>
          <w:i/>
        </w:rPr>
        <w:t>contract law</w:t>
      </w:r>
      <w:r>
        <w:rPr>
          <w:rFonts w:ascii="Times New Roman" w:hAnsi="Times New Roman" w:cs="Times New Roman"/>
        </w:rPr>
        <w:t>;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c) an </w:t>
      </w:r>
      <w:r>
        <w:rPr>
          <w:rFonts w:ascii="Times New Roman" w:hAnsi="Times New Roman" w:cs="Times New Roman"/>
          <w:i/>
        </w:rPr>
        <w:t>ethical imbroglio</w:t>
      </w:r>
      <w:r>
        <w:rPr>
          <w:rFonts w:ascii="Times New Roman" w:hAnsi="Times New Roman" w:cs="Times New Roman"/>
        </w:rPr>
        <w:t xml:space="preserve"> by dependent counsel against its policyholder/client is mostly governed by </w:t>
      </w:r>
      <w:r>
        <w:rPr>
          <w:rFonts w:ascii="Times New Roman" w:hAnsi="Times New Roman" w:cs="Times New Roman"/>
          <w:i/>
        </w:rPr>
        <w:t>Canons of Ethics</w:t>
      </w:r>
      <w:r>
        <w:rPr>
          <w:rFonts w:ascii="Times New Roman" w:hAnsi="Times New Roman" w:cs="Times New Roman"/>
        </w:rPr>
        <w: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rPr>
        <w:tab/>
      </w:r>
      <w:r>
        <w:rPr>
          <w:rFonts w:ascii="Times New Roman" w:hAnsi="Times New Roman" w:cs="Times New Roman"/>
          <w:b/>
        </w:rPr>
        <w:t>5.</w:t>
        <w:tab/>
        <w:t>Grounds to Distrust the Reserving Insurer and Dependent Counsel</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A reservation of rights may render the liability insurer untrustworthy because: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rPr>
      </w:pPr>
      <w:r>
        <w:rPr>
          <w:rFonts w:ascii="Times New Roman" w:hAnsi="Times New Roman" w:cs="Times New Roman"/>
        </w:rPr>
        <w:t xml:space="preserve"> </w:t>
        <w:tab/>
        <w:tab/>
        <w:t xml:space="preserve">a) having conditionally denied coverage, it lacks an economic incentive to fund a vigorous defense;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rPr>
      </w:pPr>
      <w:r>
        <w:rPr>
          <w:rFonts w:ascii="Times New Roman" w:hAnsi="Times New Roman" w:cs="Times New Roman"/>
        </w:rPr>
        <w:t xml:space="preserve"> </w:t>
        <w:tab/>
        <w:tab/>
        <w:t>b) it may seek to influence the outcome of the liability dispute away from coverage;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rPr>
      </w:pPr>
      <w:r>
        <w:rPr>
          <w:rFonts w:ascii="Times New Roman" w:hAnsi="Times New Roman" w:cs="Times New Roman"/>
        </w:rPr>
        <w:t xml:space="preserve"> </w:t>
        <w:tab/>
        <w:tab/>
        <w:t xml:space="preserve">c) it may seek to influence dependent counsel to develop admissible evidence adverse to coverage to be used by the insurer against the policyholder in a coverage contest.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rPr>
        <w:tab/>
      </w:r>
      <w:r>
        <w:rPr>
          <w:rFonts w:ascii="Times New Roman" w:hAnsi="Times New Roman" w:cs="Times New Roman"/>
          <w:b/>
        </w:rPr>
        <w:t>6.</w:t>
        <w:tab/>
        <w:t>Dependent Counsel’s Duties of Loyalty, Confidentiality, and Disclosure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A reservation of rights may render dependent counsel untrustworthy because: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rPr>
      </w:pPr>
      <w:r>
        <w:rPr>
          <w:rFonts w:ascii="Times New Roman" w:hAnsi="Times New Roman" w:cs="Times New Roman"/>
        </w:rPr>
        <w:t xml:space="preserve"> </w:t>
        <w:tab/>
        <w:tab/>
        <w:t>a) a lawyer’s duty of undivided loyalty may be divided between the conflicting interests of the insurer and the policyholder;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rPr>
      </w:pPr>
      <w:r>
        <w:rPr>
          <w:rFonts w:ascii="Times New Roman" w:hAnsi="Times New Roman" w:cs="Times New Roman"/>
        </w:rPr>
        <w:t xml:space="preserve"> </w:t>
        <w:tab/>
        <w:tab/>
        <w:t xml:space="preserve">b) dependent counsel’s duty of confidentiality may be compromised regarding information that could adversely impact coverage; and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rPr>
      </w:pPr>
      <w:r>
        <w:rPr>
          <w:rFonts w:ascii="Times New Roman" w:hAnsi="Times New Roman" w:cs="Times New Roman"/>
        </w:rPr>
        <w:t xml:space="preserve"> </w:t>
        <w:tab/>
        <w:tab/>
        <w:t>c) dependent counsel’s duty of disclosure does “impose upon lawyers hired by the insurer an obligation to explain to the insured and the insurer the full implications of joint representation in situations where the insurer has reserved its rights to deny coverage.” (</w:t>
      </w:r>
      <w:r>
        <w:rPr>
          <w:rFonts w:ascii="Times New Roman" w:hAnsi="Times New Roman" w:cs="Times New Roman"/>
          <w:i/>
        </w:rPr>
        <w:t>San Diego Navy Fed. Credit Union v. Cumis Ins. Society, Inc.</w:t>
      </w:r>
      <w:r>
        <w:rPr>
          <w:rFonts w:ascii="Times New Roman" w:hAnsi="Times New Roman" w:cs="Times New Roman"/>
        </w:rPr>
        <w:t xml:space="preserve"> 162 Cal.App.3d 358, 375 (1984) (</w:t>
      </w:r>
      <w:r>
        <w:rPr>
          <w:rFonts w:ascii="Times New Roman" w:hAnsi="Times New Roman" w:cs="Times New Roman"/>
          <w:i/>
        </w:rPr>
        <w:t>Cumis</w:t>
      </w:r>
      <w:r>
        <w:rPr>
          <w:rFonts w:ascii="Times New Roman" w:hAnsi="Times New Roman" w:cs="Times New Roman"/>
        </w:rPr>
        <w:t xml:space="preserve">).)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rPr>
        <w:tab/>
      </w:r>
      <w:r>
        <w:rPr>
          <w:rFonts w:ascii="Times New Roman" w:hAnsi="Times New Roman" w:cs="Times New Roman"/>
          <w:b/>
        </w:rPr>
        <w:t>7.</w:t>
        <w:tab/>
        <w:t>The Need to Develop Admissible Evidence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Many of the cases collected here were decided in a factual vacuum in which little or no evidence was presented to the court regarding the insurer’s reservation of rights or dependent counsel’s ethical conflicts of interest. One court rejected conclusory allegations without proven facts. “As Gertrude Stein famously said about Oakland, there is no there there.” (</w:t>
      </w:r>
      <w:r>
        <w:rPr>
          <w:rFonts w:ascii="Times New Roman" w:hAnsi="Times New Roman" w:cs="Times New Roman"/>
          <w:i/>
        </w:rPr>
        <w:t>Centex Homes v. St. Paul Fire &amp; Marine Ins. Co.</w:t>
      </w:r>
      <w:r>
        <w:rPr>
          <w:rFonts w:ascii="Times New Roman" w:hAnsi="Times New Roman" w:cs="Times New Roman"/>
        </w:rPr>
        <w:t xml:space="preserve"> 237 Cal.App.4th 23, 31-32 (2015).)</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rPr>
        <w:tab/>
      </w:r>
      <w:r>
        <w:rPr>
          <w:rFonts w:ascii="Times New Roman" w:hAnsi="Times New Roman" w:cs="Times New Roman"/>
          <w:b/>
        </w:rPr>
        <w:t>8.</w:t>
        <w:tab/>
        <w:t>The Need to Carefully Frame Legal Issues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Policyholder counsel have the power to carefully frame legal issues for decision by the courts. Jurisdictions whose reported opinions are limited to a search for a rule have often not been challenged by counsel to decide clear precise rules of law.</w:t>
      </w:r>
      <w:r>
        <w:rPr>
          <w:rStyle w:val="FootnoteReference"/>
          <w:rFonts w:ascii="Times New Roman" w:hAnsi="Times New Roman" w:cs="Times New Roman"/>
          <w:rtl w:val="0"/>
        </w:rPr>
        <w:footnoteReference w:id="4"/>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rPr>
        <w:tab/>
      </w:r>
      <w:r>
        <w:rPr>
          <w:rFonts w:ascii="Times New Roman" w:hAnsi="Times New Roman" w:cs="Times New Roman"/>
          <w:b/>
        </w:rPr>
        <w:t>9.</w:t>
        <w:tab/>
        <w:t>When Should Ethical Issues be Resolved?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When a liability insurer reserves its rights to deny coverage to its policyholder and appoints ethically conflicted dependent counsel to defend the policyholder in the liability dispute, should the policyholder acquiesce and hope for the best or take immediate action to prevent harm? “Any lawyer who attempts to represent two adverse masters places himself in a precarious, perilous position. [Rules of ethics] are distilled principles of ancient, time-honored, and judicially-enforced conduct on the part of lawyers in representing clients. Without them our system of justice would be doomed. It hardly needs to be added that no insurance policy can validly diminish a lawyer’s duty to his insured client. In sum, the ethical dilemma thus imposed upon the carrier-employed defense attorney would tax Socrates, and no decision or authority we have studied furnishes a completely satisfactory answer.” (</w:t>
      </w:r>
      <w:r>
        <w:rPr>
          <w:rFonts w:ascii="Times New Roman" w:hAnsi="Times New Roman" w:cs="Times New Roman"/>
          <w:i/>
        </w:rPr>
        <w:t>Hartford Acc. &amp; Indem. Co. v. Foster</w:t>
      </w:r>
      <w:r>
        <w:rPr>
          <w:rFonts w:ascii="Times New Roman" w:hAnsi="Times New Roman" w:cs="Times New Roman"/>
        </w:rPr>
        <w:t xml:space="preserve"> 528 So.2d 255, 269, 274 (Miss. 1988) (</w:t>
      </w:r>
      <w:r>
        <w:rPr>
          <w:rFonts w:ascii="Times New Roman" w:hAnsi="Times New Roman" w:cs="Times New Roman"/>
          <w:i/>
        </w:rPr>
        <w:t>Foster</w:t>
      </w:r>
      <w:r>
        <w:rPr>
          <w:rFonts w:ascii="Times New Roman" w:hAnsi="Times New Roman" w:cs="Times New Roman"/>
        </w:rPr>
        <w: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exact"/>
        <w:rPr>
          <w:rFonts w:ascii="Times New Roman" w:hAnsi="Times New Roman" w:cs="Times New Roman"/>
        </w:rPr>
      </w:pP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American Law Institute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A.L.I. Restatement of Liability Insurance expresses the Cumis Test as “facts at issue in common” as follows: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firstLine="0"/>
        <w:rPr>
          <w:rFonts w:ascii="Times New Roman" w:hAnsi="Times New Roman" w:cs="Times New Roman"/>
        </w:rPr>
      </w:pPr>
      <w:r>
        <w:rPr>
          <w:rFonts w:ascii="Times New Roman" w:hAnsi="Times New Roman" w:cs="Times New Roman"/>
        </w:rPr>
        <w:t>“When an insurer with the duty to defend provides the insured notice of a ground for contesting coverage under § 15 [Reserving the Right to Contest Coverage] and there are facts at issue that are common to the legal action for which the defense is due and to the coverage dispute, such that the action could be defended in a manner that would benefit the insurer at the expense of the insured, the insurer must provide an independent defense of the action.”</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(Rest. Liab. Ins. § 16. The Obligation to Provide an Independent Defense)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Alabama</w:t>
      </w:r>
      <w:r>
        <w:rPr>
          <w:rFonts w:ascii="Times New Roman" w:hAnsi="Times New Roman" w:cs="Times New Roman"/>
        </w:rPr>
        <w:t xml:space="preserve"> “Enhanced Duties”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“Those authorities which stand for the proposition that, </w:t>
      </w:r>
      <w:r>
        <w:rPr>
          <w:rFonts w:ascii="Times New Roman" w:hAnsi="Times New Roman" w:cs="Times New Roman"/>
          <w:i/>
        </w:rPr>
        <w:t>in all cases</w:t>
      </w:r>
      <w:r>
        <w:rPr>
          <w:rFonts w:ascii="Times New Roman" w:hAnsi="Times New Roman" w:cs="Times New Roman"/>
        </w:rPr>
        <w:t xml:space="preserve"> where there is a reservation of rights, regardless of the actual circumstances of the defense provided by the insurer, the insured is </w:t>
      </w:r>
      <w:r>
        <w:rPr>
          <w:rFonts w:ascii="Times New Roman" w:hAnsi="Times New Roman" w:cs="Times New Roman"/>
          <w:i/>
        </w:rPr>
        <w:t>entitled</w:t>
      </w:r>
      <w:r>
        <w:rPr>
          <w:rFonts w:ascii="Times New Roman" w:hAnsi="Times New Roman" w:cs="Times New Roman"/>
        </w:rPr>
        <w:t xml:space="preserve"> to defense counsel of its choice who shall control the defense, and whose reasonable fees the insurer is required to pay, in our view go too far. The objective in a reservation-of-rights situation is to put in place a procedure by which the insured can be confident that his interests will not be compromised nor in any way subordinated to those of the insurer as a result of the defense he is required to accept under the contract of insurance. The standard set forth in [Washington State] requiring an enhanced obligation of good faith coupled with the specific criteria that must be met by both the insurer as well as the defense counsel retained by the insurer, provides an adequate means for safeguarding the interests of the insured without, at the same time, engaging in the presumption that any and all defense counsel retained by the insurance industry to represent its insureds under a reservation of rights are conclusively unable to do so without consciously or unconsciously compromising the interests of the insureds. The mere fact that the insurer chooses to defend its insured under a reservation of rights does not </w:t>
      </w:r>
      <w:r>
        <w:rPr>
          <w:rFonts w:ascii="Times New Roman" w:hAnsi="Times New Roman" w:cs="Times New Roman"/>
          <w:i/>
        </w:rPr>
        <w:t>ipso facto</w:t>
      </w:r>
      <w:r>
        <w:rPr>
          <w:rFonts w:ascii="Times New Roman" w:hAnsi="Times New Roman" w:cs="Times New Roman"/>
        </w:rPr>
        <w:t xml:space="preserve"> constitute such a conflict of interest that the insured is entitled at the outset to engage defense counsel of its choice at the expense of the insurer. We hold that, if the insurer and the defense counsel retained by the insurer to </w:t>
      </w:r>
      <w:r>
        <w:rPr>
          <w:rFonts w:ascii="Times New Roman" w:hAnsi="Times New Roman" w:cs="Times New Roman"/>
          <w:i/>
        </w:rPr>
        <w:t>represent its insured</w:t>
      </w:r>
      <w:r>
        <w:rPr>
          <w:rFonts w:ascii="Times New Roman" w:hAnsi="Times New Roman" w:cs="Times New Roman"/>
        </w:rPr>
        <w:t xml:space="preserve"> meet the specific criteria [adopted in Washington], the insurer has met its enhanced obligation of good faith, and the defense provided by the insurer may proceed under a reservation of rights. It is only when those criteria have not been met in whole or in part that the insured is entitled to retain defense counsel of its choice at the expense of the insurer.” (</w:t>
      </w:r>
      <w:r>
        <w:rPr>
          <w:rFonts w:ascii="Times New Roman" w:hAnsi="Times New Roman" w:cs="Times New Roman"/>
          <w:i/>
        </w:rPr>
        <w:t>L &amp; S Roofing Supply Co. v. St. Paul Fire &amp; Marine Ins. Co.,</w:t>
      </w:r>
      <w:r>
        <w:rPr>
          <w:rFonts w:ascii="Times New Roman" w:hAnsi="Times New Roman" w:cs="Times New Roman"/>
        </w:rPr>
        <w:t xml:space="preserve"> 521 So.2d 1298, 1304 (Ala. 1987) (citation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 xml:space="preserve">Alaska </w:t>
      </w:r>
      <w:r>
        <w:rPr>
          <w:rFonts w:ascii="Times New Roman" w:hAnsi="Times New Roman" w:cs="Times New Roman"/>
        </w:rPr>
        <w:t>Restatement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In a thoughtful and comprehensive opinion, </w:t>
      </w:r>
      <w:r>
        <w:rPr>
          <w:rFonts w:ascii="Times New Roman" w:hAnsi="Times New Roman" w:cs="Times New Roman"/>
          <w:i/>
        </w:rPr>
        <w:t>CHI of Alaska, Inc. v. Employers Reinsurance Corp.,</w:t>
      </w:r>
      <w:r>
        <w:rPr>
          <w:rFonts w:ascii="Times New Roman" w:hAnsi="Times New Roman" w:cs="Times New Roman"/>
        </w:rPr>
        <w:t xml:space="preserve"> 844 P.2d 1113, (Alaska 1993) (</w:t>
      </w:r>
      <w:r>
        <w:rPr>
          <w:rFonts w:ascii="Times New Roman" w:hAnsi="Times New Roman" w:cs="Times New Roman"/>
          <w:i/>
        </w:rPr>
        <w:t>CHI of Alaska</w:t>
      </w:r>
      <w:r>
        <w:rPr>
          <w:rFonts w:ascii="Times New Roman" w:hAnsi="Times New Roman" w:cs="Times New Roman"/>
        </w:rPr>
        <w:t>), Alaska recognized three different types of conflicts of interest, one of which does not create disqualifying conflicts of interest. Nonetheless, Alaska adopted “the general rule that the insurer must surrender its right to control the defense to the insured if the insured refuses to accept a defense under a reservation of rights: [T]he general rule is that, if an insured refuses to accede to the insurer’s reservation of rights, the carrier must either accept liability under the policy and defend unconditionally or surrender control of the defense. [T]hese conflicts might be avoided if the insured were offered the right to retain independent counsel. The possibility of a conflict might be avoided in such cases if the insurance company were to offer its insured the right to retain independent counsel to conduct his defense, and agree to pay all the necessary costs of that defense. In that event, it would seem that the company should be entitled to reserve the right to later litigate an alleged policy defense.” (</w:t>
      </w:r>
      <w:r>
        <w:rPr>
          <w:rFonts w:ascii="Times New Roman" w:hAnsi="Times New Roman" w:cs="Times New Roman"/>
          <w:i/>
        </w:rPr>
        <w:t>CHI of Alaska, supra</w:t>
      </w:r>
      <w:r>
        <w:rPr>
          <w:rFonts w:ascii="Times New Roman" w:hAnsi="Times New Roman" w:cs="Times New Roman"/>
        </w:rPr>
        <w:t>, 844 P.2d at 1118 (citations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i/>
        </w:rPr>
        <w:t>Three Types of Conflicts of Interest - Policy Defenses, Coverage Defenses, and Confidentiality Conflicts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“Sometimes, the insurer claims that the policy has been breached by the insured. These are so-called policy defenses of which the insured’s failure to give notice or to cooperate are typical examples. Similarly, the insurer may claim that a particular claim made by the plaintiff does not come within the coverage of the policy. Such defenses are </w:t>
      </w:r>
      <w:r>
        <w:rPr>
          <w:rFonts w:ascii="Times New Roman" w:hAnsi="Times New Roman" w:cs="Times New Roman"/>
          <w:i/>
        </w:rPr>
        <w:t>called coverage defenses</w:t>
      </w:r>
      <w:r>
        <w:rPr>
          <w:rFonts w:ascii="Times New Roman" w:hAnsi="Times New Roman" w:cs="Times New Roman"/>
        </w:rPr>
        <w:t xml:space="preserve">. The most typical example is the coverage defense in this case where alternative theories of negligent and intentional tort are plead and negligent acts are covered by the policy but intentional acts are not. In cases where an insurer asserts either policy or coverage defenses, there are various conflicts of interest between the insurer and the insured. First, if the insurer may offer only a token defense. Second, the insurer might conduct the defense in such a manner as to make the likelihood of a plaintiff’s verdict greater under the uninsured theory. Third, the insurer might gain access to confidential or privileged information in the process of the defense which it might later use to its advantage in litigation concerning coverage.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“Where there is a conflict between insurer and insured, appointed counsel may tend to favor the interests of the insurer primarily because of the prospect of future employment. Even the most optimistic view of human nature requires us to realize that an attorney employed by an insurance company will slant his efforts, perhaps unconsciously, in the interest of his real client - the one who is paying his fee and from whom he hopes to receive future business - the insurance company. [T]he attorney’s economic interests weigh heavily in favor of the insurer, which, after all, may retain his services in other cases; yet the rules of professional responsibility tip the scales toward the insured. Although [some] courts seem to trust the insurer and attorney to act in the best interests of the insured, the more common view is that the longstanding ties that defense counsel has with the insurer will inevitably influence his conduct of the case. The attorney, wishing to maintain the insurer’s business, does not want to aggravate the company. Insurance counsel’s relationship with the insurer is contractual, usually ongoing, supported by strong financial interests, and often strengthened by sincere friendships.). In recognition of this, most courts hold that in conflict situations the insured has the right to independent counsel to conduct its defense and the insurance company has the obligation to pay the reasonable value of the defense conducted by independent counsel.</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[Confidentiality conflicts may arise from] “access of appointed counsel to information in possession of the insured which may be used against the insured in subsequent coverage litigation. [D]uring the initial litigation, the insured may transmit information to counsel that the insurer could use in subsequent litigation to the insured’s disadvantage. A heavy burden of silence falls on the attorney the insurer selects to defend the insured. The fact that [independent] counsel is acting as co-counsel with [dependent] counsel appointed by the insurer also does not eliminate this conflict. [Dependent] counsel has and should have full access to the client so that the defense may be effectively conducted. [T]he opportunity to direct a case through witness selection, interrogation, and discovery may afford a dispositive advantage in subsequent litigation. [T]he insured’s attorney has the opportunity to develop the facts through discovery and to shape the case for, and present the evidence at, the trial. So even though the insured or the insurer may relitigate the coverage issue in a subsequent proceeding, controlling the defense in the main proceeding could be critical. Testifying under oath in the main proceeding may freeze in the witnesses’ minds one version of the facts. Very little latitude may remain in subsequent proceedings to mold the evidence bearing upon coverage. We conclude therefore that the two-counsel solution does not satisfactorily resolve the conflicts which have given rise to the right to independent counsel.” (</w:t>
      </w:r>
      <w:r>
        <w:rPr>
          <w:rFonts w:ascii="Times New Roman" w:hAnsi="Times New Roman" w:cs="Times New Roman"/>
          <w:i/>
        </w:rPr>
        <w:t>CHI of Alaska, supra</w:t>
      </w:r>
      <w:r>
        <w:rPr>
          <w:rFonts w:ascii="Times New Roman" w:hAnsi="Times New Roman" w:cs="Times New Roman"/>
        </w:rPr>
        <w:t>, 844 P.2d at 1115-20 (citations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i/>
        </w:rPr>
        <w:t>Policy Defenses Do Not Warrant Independent Counsel</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“All three general types of conflicts of interests between insurer and insured - the insurer may offer mere token defense, the insurer may steer result to judgment under an uninsured theory of recovery, the insurer may gain access to confidential or privileged information which it may later use to its advantage - apply in coverage defense cases. However, the second reason does not apply in policy defense cases. Policy defenses, such as lack of notice or noncooperation, involve facts which are generally irrelevant to the litigation between the plaintiff and the insured. Therefore, appointed counsel has no opportunity to covertly frame [a] defense to achieve a verdict based upon [a theory under which no coverage would result] so that [the insurer] could later assert that the defense was not covered. Thus, the need for independent counsel is, if anything, greater in coverage than in policy defense cases. We conclude that the right to independent counsel should also apply to cases involving coverage defenses. Merely because the insurer and the insured have divergent interests when the insurer seeks to defend under a reservation of rights does not necessarily mean that appointed counsel also has conflicting interests. (</w:t>
      </w:r>
      <w:r>
        <w:rPr>
          <w:rFonts w:ascii="Times New Roman" w:hAnsi="Times New Roman" w:cs="Times New Roman"/>
          <w:i/>
        </w:rPr>
        <w:t>CHI of Alaska, supra</w:t>
      </w:r>
      <w:r>
        <w:rPr>
          <w:rFonts w:ascii="Times New Roman" w:hAnsi="Times New Roman" w:cs="Times New Roman"/>
        </w:rPr>
        <w:t>, 844 P.2d at 1118, 1115 (citations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Policyholder’s Unilateral Right to Select Counsel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“We conclude that the insured should have the unilateral right to select independent counsel and that this right should be subject to the implied covenant of good faith and fair dealing. In our view the covenant of good faith and fair dealing in this context requires that the insured select an attorney who is, by experience and training, reasonably thought to be competent to conduct the defense of the insured. Such a result, in our view, fairly balances the interest of the insured - being defended by competent counsel of undivided loyalty - with the interests of the insurer - having the defense of the insured conducted by competent counsel. The insurer is only required to pay the reasonable cost of the defense. [The] insurer must underwrite reasonable costs incurred by the insured in defending the action. This provides a measure of protection for insurers against overbilling - and overlitigating - by independent counsel.” (</w:t>
      </w:r>
      <w:r>
        <w:rPr>
          <w:rFonts w:ascii="Times New Roman" w:hAnsi="Times New Roman" w:cs="Times New Roman"/>
          <w:i/>
        </w:rPr>
        <w:t>CHI of Alaska, supra</w:t>
      </w:r>
      <w:r>
        <w:rPr>
          <w:rFonts w:ascii="Times New Roman" w:hAnsi="Times New Roman" w:cs="Times New Roman"/>
        </w:rPr>
        <w:t>, 844 P.2d at 1121 (citations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See also, AS § 21.96.100; and </w:t>
      </w:r>
      <w:r>
        <w:rPr>
          <w:rFonts w:ascii="Times New Roman" w:hAnsi="Times New Roman" w:cs="Times New Roman"/>
          <w:i/>
        </w:rPr>
        <w:t>Continental Ins. Co. v. Bayless &amp; Roberts, Inc.,</w:t>
      </w:r>
      <w:r>
        <w:rPr>
          <w:rFonts w:ascii="Times New Roman" w:hAnsi="Times New Roman" w:cs="Times New Roman"/>
        </w:rPr>
        <w:t xml:space="preserve"> 608 P.2d 281 (Alaska 1980).</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“We conclude that Alaska law prohibits reimbursement of fees and costs incurred by the insurer defending claims under a reservation of rights, even in circumstances where it is later discovered that there was ‘no possibility of coverage’ under the policy.” (</w:t>
      </w:r>
      <w:r>
        <w:rPr>
          <w:rFonts w:ascii="Times New Roman" w:hAnsi="Times New Roman" w:cs="Times New Roman"/>
          <w:i/>
        </w:rPr>
        <w:t>Attorneys Liab. Pro. Soc. v. Ingaldson Fitzgerald, PC</w:t>
      </w:r>
      <w:r>
        <w:rPr>
          <w:rFonts w:ascii="Times New Roman" w:hAnsi="Times New Roman" w:cs="Times New Roman"/>
        </w:rPr>
        <w:t xml:space="preserve"> Supreme Court No. S-15683 (Ala. 2016).)</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Arizona</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“An insurer that performs the duty to defend but reserves the right to deny the duty to pay should not be allowed to control the conditions of payment. The insurer’s insertion of a policy defense by way of reservation or nonwaiver agreement narrows the reach of the cooperation clause and permits the insured to take reasonable measures to protect himself against the danger of personal liability. [A]n insured being defended under a reservation of rights may enter into a [settlement] agreement without breaching the cooperation clause. The insurer’s reservation of the privilege to deny the duty to pay relinquishes to the insured control of the litigation. By settling against the insurer’s instructions, the insured, in effect, ousts the insurer from the defense of the action and assumes the defense himself.” (</w:t>
      </w:r>
      <w:r>
        <w:rPr>
          <w:rFonts w:ascii="Times New Roman" w:hAnsi="Times New Roman" w:cs="Times New Roman"/>
          <w:i/>
        </w:rPr>
        <w:t>United Services Automobile Association v. Morris,</w:t>
      </w:r>
      <w:r>
        <w:rPr>
          <w:rFonts w:ascii="Times New Roman" w:hAnsi="Times New Roman" w:cs="Times New Roman"/>
        </w:rPr>
        <w:t xml:space="preserve"> 154 Ariz. 113, 119-20, 741 P.2d 246 (1987)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“When an insurer reserves its rights to contest indemnification liability, a conflict of interest is created between the insurer and the insured. [W]hen a claimant seeks damages the insurer may contend are not covered under the policy, the interests of insured and insurer diverge. An insured is free to act to protect its rights in the litigation with the claimant.” (</w:t>
      </w:r>
      <w:r>
        <w:rPr>
          <w:rFonts w:ascii="Times New Roman" w:hAnsi="Times New Roman" w:cs="Times New Roman"/>
          <w:i/>
        </w:rPr>
        <w:t>Pueblo Santa Fe Townhomes Owners’ Ass’n v. Transcontinental Ins. Co.,</w:t>
      </w:r>
      <w:r>
        <w:rPr>
          <w:rFonts w:ascii="Times New Roman" w:hAnsi="Times New Roman" w:cs="Times New Roman"/>
        </w:rPr>
        <w:t xml:space="preserve"> 178 P.3d 485, 491 (Ariz. 2008).</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“Appellants contend that (the insurer) should be estopped to deny coverage and have waived the intentional act exclusion because the company took advantage of the fiduciary relationship between its agent (the attorney) and (the policyholder). We agree.” (</w:t>
      </w:r>
      <w:r>
        <w:rPr>
          <w:rFonts w:ascii="Times New Roman" w:hAnsi="Times New Roman" w:cs="Times New Roman"/>
          <w:i/>
        </w:rPr>
        <w:t>Parsons v. Continental National American Group</w:t>
      </w:r>
      <w:r>
        <w:rPr>
          <w:rFonts w:ascii="Times New Roman" w:hAnsi="Times New Roman" w:cs="Times New Roman"/>
        </w:rPr>
        <w:t>113 Ariz. 223, 226 (1976)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Arkansas</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insurer]’s reservation of rights puts [the insurer] and [the policyholder] in a conflict of interest situation. Due to this conflict of interest, the insurer must give up control of the litigation and retain an independent counsel for the insured. The question is whether, the insurer has the right to name the independent counsel, or whether the insured has the right to name independent counsel of its own choosing. Even the most optimistic view of human nature requires us to realize that an attorney employed by an insurance company will slant his efforts, perhaps unconsciously, in the interests of his real client - the one who is paying his fee and from whom he hopes to receive future business - the insurance company. Matthew 6:24 retains a particular relevancy, ‘No man can serve two masters’. The law of various states, which appears to be the ‘majority rule’ also supports giving the choice of counsel to the insured in a conflict situation. The authority favoring [the policyholder] is clearly in its favor. [T]he conflict situation cannot be eliminated so long as the insurance company selects the counsel. It is simply a matter of human nature.” (</w:t>
      </w:r>
      <w:r>
        <w:rPr>
          <w:rFonts w:ascii="Times New Roman" w:hAnsi="Times New Roman" w:cs="Times New Roman"/>
          <w:i/>
        </w:rPr>
        <w:t>Union Ins. Co. v. Knife Co., Inc.,</w:t>
      </w:r>
      <w:r>
        <w:rPr>
          <w:rFonts w:ascii="Times New Roman" w:hAnsi="Times New Roman" w:cs="Times New Roman"/>
        </w:rPr>
        <w:t xml:space="preserve"> 902 F. Supp. 877, 880-81 (W.D. Ark. 1995)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“In order to effectuate [the insurer]’s duty to defend [the policyholder], [the policyholder] must be allowed to select its own legal counsel for defense. [The insurer] is hereby directed to reimburse [the policyholder] counsel for a reasonable attorney fee in defense of [liability] suit.” (</w:t>
      </w:r>
      <w:r>
        <w:rPr>
          <w:rFonts w:ascii="Times New Roman" w:hAnsi="Times New Roman" w:cs="Times New Roman"/>
          <w:i/>
        </w:rPr>
        <w:t>Northland Ins. Co. v. Heck’s Service Co., Inc.,</w:t>
      </w:r>
      <w:r>
        <w:rPr>
          <w:rFonts w:ascii="Times New Roman" w:hAnsi="Times New Roman" w:cs="Times New Roman"/>
        </w:rPr>
        <w:t xml:space="preserve"> 620 F.Supp. 107, 108-09 (D.C. Ark. 1985)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California</w:t>
      </w:r>
      <w:r>
        <w:rPr>
          <w:rFonts w:ascii="Times New Roman" w:hAnsi="Times New Roman" w:cs="Times New Roman"/>
        </w:rPr>
        <w:t xml:space="preserve"> Restatement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California passed legislation rejecting the “per se” rule. (Civ. Code § 2860.) Instead, a liability insurer that reserves its right to deny coverage to its policyholder must pay for independent counsel to conduct its policyholder’s defense unless all grounds upon which the insurer may later deny coverage “have nothing to do with the issues being litigated in the underlying action.” (</w:t>
      </w:r>
      <w:r>
        <w:rPr>
          <w:rFonts w:ascii="Times New Roman" w:hAnsi="Times New Roman" w:cs="Times New Roman"/>
          <w:i/>
        </w:rPr>
        <w:t>Long v. Century Indemnity Co.</w:t>
      </w:r>
      <w:r>
        <w:rPr>
          <w:rFonts w:ascii="Times New Roman" w:hAnsi="Times New Roman" w:cs="Times New Roman"/>
        </w:rPr>
        <w:t xml:space="preserve"> 163 Cal.App.4th 1460, 1470 (2008).)</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California leads the nation in the development of the law regarding a liability insurer’s duty to defend, including a reserving insurer’s obligation to pay for independent counsel selected and directed by the policyholder. California rejects the majority per se disqualification rule. “[N]ot every conflict of interest triggers an obligation on the part of the insurer to provide the insured with independent counsel at the insurer’s expense.” (</w:t>
      </w:r>
      <w:r>
        <w:rPr>
          <w:rFonts w:ascii="Times New Roman" w:hAnsi="Times New Roman" w:cs="Times New Roman"/>
          <w:i/>
        </w:rPr>
        <w:t>James 3 Corp. v. Truck Ins. Exchange</w:t>
      </w:r>
      <w:r>
        <w:rPr>
          <w:rFonts w:ascii="Times New Roman" w:hAnsi="Times New Roman" w:cs="Times New Roman"/>
        </w:rPr>
        <w:t xml:space="preserve"> 91 Cal.App.4th 1093, 1101 (2001) (</w:t>
      </w:r>
      <w:r>
        <w:rPr>
          <w:rFonts w:ascii="Times New Roman" w:hAnsi="Times New Roman" w:cs="Times New Roman"/>
          <w:i/>
        </w:rPr>
        <w:t>James 3</w:t>
      </w:r>
      <w:r>
        <w:rPr>
          <w:rFonts w:ascii="Times New Roman" w:hAnsi="Times New Roman" w:cs="Times New Roman"/>
        </w:rPr>
        <w:t xml:space="preserve">); </w:t>
      </w:r>
      <w:r>
        <w:rPr>
          <w:rFonts w:ascii="Times New Roman" w:hAnsi="Times New Roman" w:cs="Times New Roman"/>
          <w:i/>
        </w:rPr>
        <w:t>Dynamic Concepts, Inc. v. Truck Ins. Exchange</w:t>
      </w:r>
      <w:r>
        <w:rPr>
          <w:rFonts w:ascii="Times New Roman" w:hAnsi="Times New Roman" w:cs="Times New Roman"/>
        </w:rPr>
        <w:t xml:space="preserve"> (1998) 61 Cal.App.4th 999, 1006.) In its place, California has developed a rich collection of thoughtful and comprehensive reported opinions that hold that a reserving insurer must pay for independent counsel if the insurer’s reservation of rights is “related to” disputed issues of fact or law in a liability dispute.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The leading California case is </w:t>
      </w:r>
      <w:r>
        <w:rPr>
          <w:rFonts w:ascii="Times New Roman" w:hAnsi="Times New Roman" w:cs="Times New Roman"/>
          <w:i/>
        </w:rPr>
        <w:t>Cumis, supra</w:t>
      </w:r>
      <w:r>
        <w:rPr>
          <w:rFonts w:ascii="Times New Roman" w:hAnsi="Times New Roman" w:cs="Times New Roman"/>
        </w:rPr>
        <w:t>, 162 Cal.App.3d 358, that has been codified by Civil Code § 2860, and followed by the California Supreme Court. “We conclude the Canons of Ethics impose upon lawyers hired by the insurer an obligation to explain to the insured and the insurer the full implications of joint representation in situations where the insurer has reserved its rights to deny coverage. If the insured does not give an informed consent to continued representation, counsel must cease to represent both. Moreover, in the absence of such consent, where there are divergent interests of the insured and the insurer brought about by the insurer’s reservation of rights based on possible noncoverage under the insurance policy, the insurer must pay the reasonable cost for hiring independent counsel by the insured. The insurer may not compel the insured to surrender control of the litigation. Disregarding the common interests of both insured and insurer in finding total nonliability in the third party action, the remaining interests of the two diverge to such an extent as to create an actual, ethical, conflict of interest warranting payment for the insureds’ independent counsel.” (</w:t>
      </w:r>
      <w:r>
        <w:rPr>
          <w:rFonts w:ascii="Times New Roman" w:hAnsi="Times New Roman" w:cs="Times New Roman"/>
          <w:i/>
        </w:rPr>
        <w:t>Cumis, supra</w:t>
      </w:r>
      <w:r>
        <w:rPr>
          <w:rFonts w:ascii="Times New Roman" w:hAnsi="Times New Roman" w:cs="Times New Roman"/>
        </w:rPr>
        <w:t>, 162 Cal.App.3d at 375 (citations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California law states a general rule that a “[c]onflict of interest between jointly represented clients occurs whenever their common lawyer’s representation of the one is rendered less effective by reason of his representation of the other.” (</w:t>
      </w:r>
      <w:r>
        <w:rPr>
          <w:rFonts w:ascii="Times New Roman" w:hAnsi="Times New Roman" w:cs="Times New Roman"/>
          <w:i/>
        </w:rPr>
        <w:t>Spindle v. Chubb/Pacific Indemnity Group</w:t>
      </w:r>
      <w:r>
        <w:rPr>
          <w:rFonts w:ascii="Times New Roman" w:hAnsi="Times New Roman" w:cs="Times New Roman"/>
        </w:rPr>
        <w:t xml:space="preserve"> 89 Cal.App.3d 706, 713 (1979).) A disqualifying conflict of interest exists unless “the coverage question is logically unrelated to the issues of consequence in the underlying case.” (</w:t>
      </w:r>
      <w:r>
        <w:rPr>
          <w:rFonts w:ascii="Times New Roman" w:hAnsi="Times New Roman" w:cs="Times New Roman"/>
          <w:i/>
        </w:rPr>
        <w:t>Montrose Chemical Corp. v. Superior Court</w:t>
      </w:r>
      <w:r>
        <w:rPr>
          <w:rFonts w:ascii="Times New Roman" w:hAnsi="Times New Roman" w:cs="Times New Roman"/>
        </w:rPr>
        <w:t xml:space="preserve"> 6 Cal.4th 287, 302 (1993) (</w:t>
      </w:r>
      <w:r>
        <w:rPr>
          <w:rFonts w:ascii="Times New Roman" w:hAnsi="Times New Roman" w:cs="Times New Roman"/>
          <w:i/>
        </w:rPr>
        <w:t>Montrose I</w:t>
      </w:r>
      <w:r>
        <w:rPr>
          <w:rFonts w:ascii="Times New Roman" w:hAnsi="Times New Roman" w:cs="Times New Roman"/>
        </w:rPr>
        <w:t>).) Other California courts have expressed this “related” test in a variety of ways, both positively and negatively. A disqualifying conflict of interest exists if coverage issues “overlap” issues in the third party liability action. (</w:t>
      </w:r>
      <w:r>
        <w:rPr>
          <w:rFonts w:ascii="Times New Roman" w:hAnsi="Times New Roman" w:cs="Times New Roman"/>
          <w:i/>
        </w:rPr>
        <w:t>United Enterprises, Inc. v. Superior Court</w:t>
      </w:r>
      <w:r>
        <w:rPr>
          <w:rFonts w:ascii="Times New Roman" w:hAnsi="Times New Roman" w:cs="Times New Roman"/>
        </w:rPr>
        <w:t xml:space="preserve"> 183 Cal. App.4th 1004, 1010 (2010), (“[B]ecause factual issues to be resolved in the declaratory relief action overlap factual issues to be resolved in the underlying actions, the court was required to issue the stay”), A disqualifying conflict of interest exists if coverage turns on the nature of the policyholder’s conduct (</w:t>
      </w:r>
      <w:r>
        <w:rPr>
          <w:rFonts w:ascii="Times New Roman" w:hAnsi="Times New Roman" w:cs="Times New Roman"/>
          <w:i/>
        </w:rPr>
        <w:t>Foremost Ins. Co. v. Wilks</w:t>
      </w:r>
      <w:r>
        <w:rPr>
          <w:rFonts w:ascii="Times New Roman" w:hAnsi="Times New Roman" w:cs="Times New Roman"/>
        </w:rPr>
        <w:t xml:space="preserve"> 206 Cal.App.3d 251, 261 (1988) (“If the reservation of rights arises because of coverage questions which depend upon the insured’s own conduct, a conflict exists.”); </w:t>
      </w:r>
      <w:r>
        <w:rPr>
          <w:rFonts w:ascii="Times New Roman" w:hAnsi="Times New Roman" w:cs="Times New Roman"/>
          <w:i/>
        </w:rPr>
        <w:t>McGee v. Superior Court</w:t>
      </w:r>
      <w:r>
        <w:rPr>
          <w:rFonts w:ascii="Times New Roman" w:hAnsi="Times New Roman" w:cs="Times New Roman"/>
        </w:rPr>
        <w:t xml:space="preserve"> 176 Cal.App.3d 221, 226 (1985) (“The crucial fact in Cumis was that the insurer’s reservation of rights on the ground of noncoverage was based on the nature of the insured’s conduct, which as developed at trial would affect the determination as to coverage”). A disqualifying conflict of interest exists if “the outcome of the coverage issue can be controlled by the way counsel defends the case.” (</w:t>
      </w:r>
      <w:r>
        <w:rPr>
          <w:rFonts w:ascii="Times New Roman" w:hAnsi="Times New Roman" w:cs="Times New Roman"/>
          <w:i/>
        </w:rPr>
        <w:t>Novak v. Low, Ball &amp; Lynch</w:t>
      </w:r>
      <w:r>
        <w:rPr>
          <w:rFonts w:ascii="Times New Roman" w:hAnsi="Times New Roman" w:cs="Times New Roman"/>
        </w:rPr>
        <w:t xml:space="preserve"> 77 Cal.App.4th 278, 282 (1999).)</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A disqualifying conflict of interest does </w:t>
      </w:r>
      <w:r>
        <w:rPr>
          <w:rFonts w:ascii="Times New Roman" w:hAnsi="Times New Roman" w:cs="Times New Roman"/>
          <w:b/>
        </w:rPr>
        <w:t>not</w:t>
      </w:r>
      <w:r>
        <w:rPr>
          <w:rFonts w:ascii="Times New Roman" w:hAnsi="Times New Roman" w:cs="Times New Roman"/>
        </w:rPr>
        <w:t xml:space="preserve"> exist if all grounds on which the insurer may later deny coverage “have nothing to do with the issues being litigated in the underlying action.” (</w:t>
      </w:r>
      <w:r>
        <w:rPr>
          <w:rFonts w:ascii="Times New Roman" w:hAnsi="Times New Roman" w:cs="Times New Roman"/>
          <w:i/>
        </w:rPr>
        <w:t>Long, supra</w:t>
      </w:r>
      <w:r>
        <w:rPr>
          <w:rFonts w:ascii="Times New Roman" w:hAnsi="Times New Roman" w:cs="Times New Roman"/>
        </w:rPr>
        <w:t xml:space="preserve"> 163 Cal.App.4th at 1470. No disqualifying conflict of interest exists if “the coverage questions are logically unrelated (that is, irrelevant) to the issues of consequence in the (third party litigation which might) prejudice [the insured] in the underlying actions”. (</w:t>
      </w:r>
      <w:r>
        <w:rPr>
          <w:rFonts w:ascii="Times New Roman" w:hAnsi="Times New Roman" w:cs="Times New Roman"/>
          <w:i/>
        </w:rPr>
        <w:t>Montrose Chemical Corp. v. Superior Court (Canadian Universal Ins. Co.)</w:t>
      </w:r>
      <w:r>
        <w:rPr>
          <w:rFonts w:ascii="Times New Roman" w:hAnsi="Times New Roman" w:cs="Times New Roman"/>
        </w:rPr>
        <w:t xml:space="preserve"> 25 Cal.App.4th 902, 909 (1994) (</w:t>
      </w:r>
      <w:r>
        <w:rPr>
          <w:rFonts w:ascii="Times New Roman" w:hAnsi="Times New Roman" w:cs="Times New Roman"/>
          <w:i/>
        </w:rPr>
        <w:t>Montrose II</w:t>
      </w:r>
      <w:r>
        <w:rPr>
          <w:rFonts w:ascii="Times New Roman" w:hAnsi="Times New Roman" w:cs="Times New Roman"/>
        </w:rPr>
        <w:t>).) Nor does a disqualifying conflict of interest exists “where the coverage issue is ‘independent of, or extrinsic to, the issues in the underlying action’” (</w:t>
      </w:r>
      <w:r>
        <w:rPr>
          <w:rFonts w:ascii="Times New Roman" w:hAnsi="Times New Roman" w:cs="Times New Roman"/>
          <w:i/>
        </w:rPr>
        <w:t>Gafcon, Inc. v. Ponsor &amp; Associates</w:t>
      </w:r>
      <w:r>
        <w:rPr>
          <w:rFonts w:ascii="Times New Roman" w:hAnsi="Times New Roman" w:cs="Times New Roman"/>
        </w:rPr>
        <w:t xml:space="preserve"> 98 Cal.App.4th 1388, 1422 (2002)); </w:t>
      </w:r>
      <w:r>
        <w:rPr>
          <w:rFonts w:ascii="Times New Roman" w:hAnsi="Times New Roman" w:cs="Times New Roman"/>
          <w:i/>
        </w:rPr>
        <w:t>Blanchard v. State Farm Fire &amp; Casualty Co.</w:t>
      </w:r>
      <w:r>
        <w:rPr>
          <w:rFonts w:ascii="Times New Roman" w:hAnsi="Times New Roman" w:cs="Times New Roman"/>
        </w:rPr>
        <w:t xml:space="preserve"> 2 Cal.App.4th 345 (1991) (“If the issue on which coverage turns is independent of the issues in the underlying case, Cumis counsel is not required.”) In another context, the California Supreme Court observed that: “These shifting names have led counsel and the courts into confusion, thinking that they were dealing with different bodies of law. In fact, all these labels denominate the same basic legal claim.” (</w:t>
      </w:r>
      <w:r>
        <w:rPr>
          <w:rFonts w:ascii="Times New Roman" w:hAnsi="Times New Roman" w:cs="Times New Roman"/>
          <w:i/>
        </w:rPr>
        <w:t>Hartford Casualty Ins. Co. v. Swift Distribution, Inc.</w:t>
      </w:r>
      <w:r>
        <w:rPr>
          <w:rFonts w:ascii="Times New Roman" w:hAnsi="Times New Roman" w:cs="Times New Roman"/>
        </w:rPr>
        <w:t xml:space="preserve"> 59 Cal.4th 277, 289 (2014).)</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A rationale for this “nothing to do with” or “related” test is that a coverage dispute cannot be allowed to prejudice the policyholder’s defense. (See, </w:t>
      </w:r>
      <w:r>
        <w:rPr>
          <w:rFonts w:ascii="Times New Roman" w:hAnsi="Times New Roman" w:cs="Times New Roman"/>
          <w:i/>
        </w:rPr>
        <w:t>Montrose II, supra</w:t>
      </w:r>
      <w:r>
        <w:rPr>
          <w:rFonts w:ascii="Times New Roman" w:hAnsi="Times New Roman" w:cs="Times New Roman"/>
        </w:rPr>
        <w:t xml:space="preserve">, 25 Cal.App.4th at 909 [“Accordingly, the question before us is whether the coverage questions are logically unrelated (that is, irrelevant) to the issues of consequence in the (third party litigation which might) prejudice [the insured] in the underlying actions”]; </w:t>
      </w:r>
      <w:r>
        <w:rPr>
          <w:rFonts w:ascii="Times New Roman" w:hAnsi="Times New Roman" w:cs="Times New Roman"/>
          <w:i/>
        </w:rPr>
        <w:t>Haskel, Inc. v. Superior Court</w:t>
      </w:r>
      <w:r>
        <w:rPr>
          <w:rFonts w:ascii="Times New Roman" w:hAnsi="Times New Roman" w:cs="Times New Roman"/>
        </w:rPr>
        <w:t xml:space="preserve"> 33 Cal.App.4th 963, 980 (1995) (ellipses omitted) [“The trial court should determine: . . . (5) to what extent, if at all, will [the policyholder] suffer prejudice by evidence which tends to support or defeat its claim of coverage or the defenses raised by the insurers.”])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California law recognizes that “[s]ome of the circumstances that may create a conflict of interest requiring the insurer to provide independent counsel include: (1) where the insurer reserves its rights on a given issue and the outcome of that coverage issue can be controlled by the insurer’s retained counsel; (2) where the insurer insures both the plaintiff and the defendant; (3) where the insurer has filed suit against the insured, whether or not the suit is related to the lawsuit the insurer is obligated to defend; (4) where the insurer pursues settlement in excess of policy limits without the insured’s consent and leaving the insured exposed to claims by third parties; and (5) any other situation where an attorney who represents the interests of both the insurer and the insured finds that his or her ‘representation of the one is rendered less effective by reason of his [or her] representation of the other.’” (</w:t>
      </w:r>
      <w:r>
        <w:rPr>
          <w:rFonts w:ascii="Times New Roman" w:hAnsi="Times New Roman" w:cs="Times New Roman"/>
          <w:i/>
        </w:rPr>
        <w:t>James 3, supra</w:t>
      </w:r>
      <w:r>
        <w:rPr>
          <w:rFonts w:ascii="Times New Roman" w:hAnsi="Times New Roman" w:cs="Times New Roman"/>
        </w:rPr>
        <w:t>, 91 Cal.App.4th at 1101.) “A disqualifying conflict exists if [i]nsurance counsel had . . . incentive to attach liability to [the insured].” (</w:t>
      </w:r>
      <w:r>
        <w:rPr>
          <w:rFonts w:ascii="Times New Roman" w:hAnsi="Times New Roman" w:cs="Times New Roman"/>
          <w:i/>
        </w:rPr>
        <w:t>Gulf Ins. Co. v. Berger, Kahn, Shafton, Moss, Figler, Simon &amp; Gladstone</w:t>
      </w:r>
      <w:r>
        <w:rPr>
          <w:rFonts w:ascii="Times New Roman" w:hAnsi="Times New Roman" w:cs="Times New Roman"/>
        </w:rPr>
        <w:t xml:space="preserve"> 79 Cal.App.4th 114, 131 (2000).)</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Colorado</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 federal court interpreting Colorado law denied a motion by a reserving insurer to disqualify independent counsel in a coverage contest and ruled that the insurer must pay the costs of defense incurred by independent counsel. “Here, [the policyholder] had already retained [independent counsel] to defend it [and] the insurance companies have purported to accept their duty to defend (under a reservation of rights) but have totally failed to do what that duty requires - pay for the defense or any portion of the defense. Because [the insurers] have refused to pay any portion of the costs of defense and all of those costs are being advanced by [the policyholder], there is no basis for the insurance companies’ refusal to fund efforts reasonably necessary to protect [the policyholder]’s interests in the underlying action.” (</w:t>
      </w:r>
      <w:r>
        <w:rPr>
          <w:rFonts w:ascii="Times New Roman" w:hAnsi="Times New Roman" w:cs="Times New Roman"/>
          <w:i/>
        </w:rPr>
        <w:t>Weitz Co., LLC v. Ohio Cas. Ins. Co.</w:t>
      </w:r>
      <w:r>
        <w:rPr>
          <w:rFonts w:ascii="Times New Roman" w:hAnsi="Times New Roman" w:cs="Times New Roman"/>
        </w:rPr>
        <w:t>, No. 11-cv-00694, 2011 WL 2535040 (D. Colo. 2011)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Connecticut</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[insurer] should reimburse the [policyholder] for the full amount of the obligation reasonably incurred by it. [The policyholder] is entitled to recover of the [insurer] the amount of the settlement, together with the expenses and attorneys’ fees incurred by it in defending the case, with interest.” (</w:t>
      </w:r>
      <w:r>
        <w:rPr>
          <w:rFonts w:ascii="Times New Roman" w:hAnsi="Times New Roman" w:cs="Times New Roman"/>
          <w:i/>
        </w:rPr>
        <w:t>Missionaries of the Company of Mary, Inc. v. Aetna Cas. and Sur. Co.,</w:t>
      </w:r>
      <w:r>
        <w:rPr>
          <w:rFonts w:ascii="Times New Roman" w:hAnsi="Times New Roman" w:cs="Times New Roman"/>
        </w:rPr>
        <w:t xml:space="preserve"> 155 Conn. 104, 112 (1967)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“‘[A]n attorney's allegiance is to his client, not to the person who happens to be paying for his services.’ (Citation) This rule applies with equal force in the context of the relationship between an attorney, an insured, and the insurer. Thus, even when an attorney is compensated or expects to be compensated by a liability insurer, his or her duty of loyalty and representation nonetheless remains exclusively with the insured.” (</w:t>
      </w:r>
      <w:r>
        <w:rPr>
          <w:rFonts w:ascii="Times New Roman" w:hAnsi="Times New Roman" w:cs="Times New Roman"/>
          <w:i/>
        </w:rPr>
        <w:t>Higgins v. Karp</w:t>
      </w:r>
      <w:r>
        <w:rPr>
          <w:rFonts w:ascii="Times New Roman" w:hAnsi="Times New Roman" w:cs="Times New Roman"/>
        </w:rPr>
        <w:t xml:space="preserve"> 239 Conn. 802, 810, 687 A.2d 539, 543 (1997).)</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Delaware</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“[W]hen [the insurer] has a conflict of interest, its conduct (and its right of recovery) is governed by equitable principles.” (</w:t>
      </w:r>
      <w:r>
        <w:rPr>
          <w:rFonts w:ascii="Times New Roman" w:hAnsi="Times New Roman" w:cs="Times New Roman"/>
          <w:i/>
        </w:rPr>
        <w:t>Baio v. Comm’l Union Ins. Co.</w:t>
      </w:r>
      <w:r>
        <w:rPr>
          <w:rFonts w:ascii="Times New Roman" w:hAnsi="Times New Roman" w:cs="Times New Roman"/>
        </w:rPr>
        <w:t>, 410 A.2d 502, 507 (Del. 1979).)</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“It has also been recognized that where the settlement or recovery under the claim may exceed coverage limits the insurer has a heightened duty to advise the insured of such implications and a duty to permit the insured an opportunity to participate through independent counsel.” (</w:t>
      </w:r>
      <w:r>
        <w:rPr>
          <w:rFonts w:ascii="Times New Roman" w:hAnsi="Times New Roman" w:cs="Times New Roman"/>
          <w:i/>
        </w:rPr>
        <w:t>Corrado Bros., Inc. v. Twin City Fire Ins. Co.</w:t>
      </w:r>
      <w:r>
        <w:rPr>
          <w:rFonts w:ascii="Times New Roman" w:hAnsi="Times New Roman" w:cs="Times New Roman"/>
        </w:rPr>
        <w:t>, 562 A.2d 1188, 1192 (Del. 1989).)</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District of Columbia</w:t>
      </w:r>
      <w:r>
        <w:rPr>
          <w:rFonts w:ascii="Times New Roman" w:hAnsi="Times New Roman" w:cs="Times New Roman"/>
        </w:rPr>
        <w:t xml:space="preserve"> in search of any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The District of Columbia is silent on this issue. But see, </w:t>
      </w:r>
      <w:r>
        <w:rPr>
          <w:rFonts w:ascii="Times New Roman" w:hAnsi="Times New Roman" w:cs="Times New Roman"/>
          <w:i/>
        </w:rPr>
        <w:t>O’Connell v. Home Ins. Co.</w:t>
      </w:r>
      <w:r>
        <w:rPr>
          <w:rFonts w:ascii="Times New Roman" w:hAnsi="Times New Roman" w:cs="Times New Roman"/>
        </w:rPr>
        <w:t>, CIV. A. No. 88-3523, 1990 WL 137386 (D.D.C. Sept. 10, 1990) unpublished opinion that equitable principles should apply.)</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Florida</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“[C]onflicting legal positions presented in defense exist. [W]e believe this legal dilemma clearly created a conflict of interest sufficient to qualify for indemnification for attorney’s fees and costs for independent counsel.” (</w:t>
      </w:r>
      <w:r>
        <w:rPr>
          <w:rFonts w:ascii="Times New Roman" w:hAnsi="Times New Roman" w:cs="Times New Roman"/>
          <w:i/>
        </w:rPr>
        <w:t>Univ. of Miami v. Great American Assur. Co.</w:t>
      </w:r>
      <w:r>
        <w:rPr>
          <w:rFonts w:ascii="Times New Roman" w:hAnsi="Times New Roman" w:cs="Times New Roman"/>
        </w:rPr>
        <w:t xml:space="preserve">, 112 So.3d 504, 507-08 (Fla. 2013) (citations and ellipses omitted).)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“[A]bsent consent, a lawyer may not represent [an insurer] if there is a </w:t>
      </w:r>
      <w:r>
        <w:rPr>
          <w:rFonts w:ascii="Times New Roman" w:hAnsi="Times New Roman" w:cs="Times New Roman"/>
          <w:i/>
        </w:rPr>
        <w:t>substantial risk</w:t>
      </w:r>
      <w:r>
        <w:rPr>
          <w:rFonts w:ascii="Times New Roman" w:hAnsi="Times New Roman" w:cs="Times New Roman"/>
        </w:rPr>
        <w:t xml:space="preserve"> that the lawyer’s representation of the client would be materially and adversely affected by the lawyer’s duties to another current client [a policyholder]. An economic conflict occurs when the financial interests of the insurer and insured diverge.” (</w:t>
      </w:r>
      <w:r>
        <w:rPr>
          <w:rFonts w:ascii="Times New Roman" w:hAnsi="Times New Roman" w:cs="Times New Roman"/>
          <w:i/>
        </w:rPr>
        <w:t>U.S. Specialty Ins. Co. v. Burd</w:t>
      </w:r>
      <w:r>
        <w:rPr>
          <w:rFonts w:ascii="Times New Roman" w:hAnsi="Times New Roman" w:cs="Times New Roman"/>
        </w:rPr>
        <w:t>, 833 F. Supp.2d 1348, 1353, 1355 (M.D. Fla. 2011) (citations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defendant [insurer] had a duty to defend the plaintiff without a reservation of rights or claim of nonwaiver, so long as it insisted on retaining control of the defense. [The policyholder] was therefore free to provide his own defense.” (</w:t>
      </w:r>
      <w:r>
        <w:rPr>
          <w:rFonts w:ascii="Times New Roman" w:hAnsi="Times New Roman" w:cs="Times New Roman"/>
          <w:i/>
        </w:rPr>
        <w:t>Taylor v. Safeco Ins. Co.</w:t>
      </w:r>
      <w:r>
        <w:rPr>
          <w:rFonts w:ascii="Times New Roman" w:hAnsi="Times New Roman" w:cs="Times New Roman"/>
        </w:rPr>
        <w:t>, 361 So.2d 743, 746 (Fla. 1978)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 Florida statute “does not provide that the insurer’s failure to obtain mutually agreeable counsel in the event of a coverage dispute entitles the insured to recover the fees and costs of its separately retained counsel. Accordingly, § 627.426(2) cannot serve as a basis for imposing a duty on Travelers to obtain mutually agreeable counsel for Royal Oak.” (</w:t>
      </w:r>
      <w:r>
        <w:rPr>
          <w:rFonts w:ascii="Times New Roman" w:hAnsi="Times New Roman" w:cs="Times New Roman"/>
          <w:i/>
        </w:rPr>
        <w:t>Travelers Indem. Co. of Ill. v. Royal Oak Enterprises, Inc.</w:t>
      </w:r>
      <w:r>
        <w:rPr>
          <w:rFonts w:ascii="Times New Roman" w:hAnsi="Times New Roman" w:cs="Times New Roman"/>
        </w:rPr>
        <w:t xml:space="preserve"> 429 F.Supp.2d 1265, 1272 (Fla. 2004).)</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Georgia</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insurer] offered to provide a defense at the time it denied coverage. When [the insurer] denied coverage, it created a conflict of interest between itself and [the policyholder]. The existence of a conflict of interest would have justified [the policyholder] in rejecting [the insurer]’s offer to provide a defense. [W]here a conflict of interest exists between the insurer and the insured in the conduct of the defense of the action brought against the insured, the insured has the right to refuse to accept an offer of the counsel appointed by the insurer. In such circumstances, [the insurer] would have been obligated to pay for [the policyholder]’s defense. Where an insured hires co-counsel instead of rejecting the defense offered by the insurance company the insurance company [has the burden] to choose between denying a defense and providing a defense in cooperation with co-counsel retained by the insured. Consequently, we affirm the judgment entered against [the insurer] for expenses [the policyholder] incurred in connection with its defense of the [liaiblity] suit.” (</w:t>
      </w:r>
      <w:r>
        <w:rPr>
          <w:rFonts w:ascii="Times New Roman" w:hAnsi="Times New Roman" w:cs="Times New Roman"/>
          <w:i/>
        </w:rPr>
        <w:t>American Family Life Assur. Co. v. U.S. Fire Co.,</w:t>
      </w:r>
      <w:r>
        <w:rPr>
          <w:rFonts w:ascii="Times New Roman" w:hAnsi="Times New Roman" w:cs="Times New Roman"/>
        </w:rPr>
        <w:t xml:space="preserve"> 885 F.2d 826 831-32 (11th Cir. 1989) (Ga. law) (citations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Hawaii</w:t>
      </w:r>
      <w:r>
        <w:rPr>
          <w:rFonts w:ascii="Times New Roman" w:hAnsi="Times New Roman" w:cs="Times New Roman"/>
        </w:rPr>
        <w:t xml:space="preserve"> “Enhanced Duties”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In </w:t>
      </w:r>
      <w:r>
        <w:rPr>
          <w:rFonts w:ascii="Times New Roman" w:hAnsi="Times New Roman" w:cs="Times New Roman"/>
          <w:i/>
        </w:rPr>
        <w:t>Finley v. The Home Insurance Company</w:t>
      </w:r>
      <w:r>
        <w:rPr>
          <w:rFonts w:ascii="Times New Roman" w:hAnsi="Times New Roman" w:cs="Times New Roman"/>
        </w:rPr>
        <w:t xml:space="preserve"> (1990) 90 Hawai’i 25, 975 P.2d 1145, the Hawaii Supreme Court ruled in a lengthy and complex opinion that “an actual conflict of interest could . . . warrant the withdrawal or dismissal of retained counsel and the appointment of new counsel” because “where the carrier questions the availability of coverage and provides a defense . . . subject to a reservation of rights, a conflict exists.” But notwithstanding this, dependent counsel represents only the policyholder so that the policyholder is </w:t>
      </w:r>
      <w:r>
        <w:rPr>
          <w:rFonts w:ascii="Times New Roman" w:hAnsi="Times New Roman" w:cs="Times New Roman"/>
          <w:b/>
        </w:rPr>
        <w:t>not</w:t>
      </w:r>
      <w:r>
        <w:rPr>
          <w:rFonts w:ascii="Times New Roman" w:hAnsi="Times New Roman" w:cs="Times New Roman"/>
        </w:rPr>
        <w:t xml:space="preserve"> entitled to retain independent counsel at the insurer’s expense if the insurer and dependent counsel satisfy “enhanced” standards of good faith and imposing liability upon them if they fail to do so.</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i/>
        </w:rPr>
        <w:t>Actual Conflict May Warrant Disqualification</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“[W]e do not rule out the possibility that, during the pendency of the action, an actual conflict of interest could develop that would warrant the withdrawal or dismissal of retained counsel and the appointment of new counsel.” (</w:t>
      </w:r>
      <w:r>
        <w:rPr>
          <w:rFonts w:ascii="Times New Roman" w:hAnsi="Times New Roman" w:cs="Times New Roman"/>
          <w:i/>
        </w:rPr>
        <w:t>Id</w:t>
      </w:r>
      <w:r>
        <w:rPr>
          <w:rFonts w:ascii="Times New Roman" w:hAnsi="Times New Roman" w:cs="Times New Roman"/>
        </w:rPr>
        <w:t>. at 1554.)</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i/>
        </w:rPr>
        <w:t>A Reservation of Rights Creates Conflicts of Interest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“[W]here the carrier questions the availability of coverage and provides a defense in the third party action subject to a reservation of rights, a conflict exists - because the insured’s goal is coverage, which flies in the face of the insurer’s desire to avoid its duty to indemnify. An insurer’s reservation of rights presents a potential conflict of interest because the insurer may be more concerned with developing facts showing non-coverage than facts defeating liability.” (</w:t>
      </w:r>
      <w:r>
        <w:rPr>
          <w:rFonts w:ascii="Times New Roman" w:hAnsi="Times New Roman" w:cs="Times New Roman"/>
          <w:i/>
        </w:rPr>
        <w:t>Id</w:t>
      </w:r>
      <w:r>
        <w:rPr>
          <w:rFonts w:ascii="Times New Roman" w:hAnsi="Times New Roman" w:cs="Times New Roman"/>
        </w:rPr>
        <w:t>. at 1550)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i/>
        </w:rPr>
        <w:t>Dependent Counsel Represents Only the Policyholder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“Whether the attorney has an attorney-client relationship with the insurer is a matter of substantive law and varies by state. [The ABA rules] offer virtually no guidance as to whether a lawyer retained and paid by an insurer to defend its insured represents the insured, the insurer, or both. The record on appeal does not contain any information on the specific arrangement between [the insurer and dependent counsel]. [The Hawaii Rules of Professional Conduct are interpreted to mean] that retained counsel </w:t>
      </w:r>
      <w:r>
        <w:rPr>
          <w:rFonts w:ascii="Times New Roman" w:hAnsi="Times New Roman" w:cs="Times New Roman"/>
          <w:i/>
        </w:rPr>
        <w:t>solely</w:t>
      </w:r>
      <w:r>
        <w:rPr>
          <w:rFonts w:ascii="Times New Roman" w:hAnsi="Times New Roman" w:cs="Times New Roman"/>
        </w:rPr>
        <w:t xml:space="preserve"> represents the insured when a conflict arises between the interests of the insurer and the insured. The [Hawaii Rules of Professional Conduct] do not allow an attorney to represent a client if this representation will be materially limited by his responsibilities to another client or a third person. If both the insured and the insurer were clients of the attorney and a conflict existed, such that each desired a different outcome to the litigation, it would be impossible for the attorney to adequately represent the interests of both, and the requirements of [Hawaii Rules of Professional Conduct] could not be met.” (</w:t>
      </w:r>
      <w:r>
        <w:rPr>
          <w:rFonts w:ascii="Times New Roman" w:hAnsi="Times New Roman" w:cs="Times New Roman"/>
          <w:i/>
        </w:rPr>
        <w:t>Id</w:t>
      </w:r>
      <w:r>
        <w:rPr>
          <w:rFonts w:ascii="Times New Roman" w:hAnsi="Times New Roman" w:cs="Times New Roman"/>
        </w:rPr>
        <w:t>. at 1552-53)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i/>
        </w:rPr>
        <w:t>Consent after Consultation, Independent of Judgment, and Protection of Confidential Information Satisfies Ethical Obligations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[Hawaii Rules of Professional Conduct provide that] “A lawyer shall not accept compensation for representing a client from one other than the client unless: (1) the client consents after consultation; (2) there is no interference with the lawyer’s independence of professional judgment or with the client-lawyer relationship; and (3) information relating to representation of a client is protected. [Thus dependent counsel] must: (1) consult with the client as to the ‘means by which the objectives [of the representation] are to be pursued’; (2) not allow the insurer to interfere with the attorney’s ‘independence of professional judgment or with the client-lawyer relationship’; and (3) not allow the insurer ‘to direct or regulate the lawyer’s professional judgment in rendering such legal services.’” (</w:t>
      </w:r>
      <w:r>
        <w:rPr>
          <w:rFonts w:ascii="Times New Roman" w:hAnsi="Times New Roman" w:cs="Times New Roman"/>
          <w:i/>
        </w:rPr>
        <w:t>Id</w:t>
      </w:r>
      <w:r>
        <w:rPr>
          <w:rFonts w:ascii="Times New Roman" w:hAnsi="Times New Roman" w:cs="Times New Roman"/>
        </w:rPr>
        <w:t>. at 1553)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i/>
        </w:rPr>
        <w:t>No Per Se Disqualification</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[We do not] “hold that the insurer who, under reservation of rights, participates in selection of counsel, automatically breaches its duty of good faith is to indulge in the conclusive presumption that counsel is unable to fully represent its client, the insured, without consciously or unconsciously compromising the insured’s interests. [We do not have] so little confidence in the integrity of the bar of this state. [T]he retained attorney is sufficiently ‘independent’ that we will not adopt a blanket rule based on the assumption that the attorney will slant his or her representation to the detriment of the insured.” (</w:t>
      </w:r>
      <w:r>
        <w:rPr>
          <w:rFonts w:ascii="Times New Roman" w:hAnsi="Times New Roman" w:cs="Times New Roman"/>
          <w:i/>
        </w:rPr>
        <w:t>Id</w:t>
      </w:r>
      <w:r>
        <w:rPr>
          <w:rFonts w:ascii="Times New Roman" w:hAnsi="Times New Roman" w:cs="Times New Roman"/>
        </w:rPr>
        <w:t>. at 1554)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i/>
        </w:rPr>
        <w:t>Policyholder May Defend at Own Expense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insured must have the right to reject this tender [of a defense under a reservation of rights]. [T]he insured may properly refuse the tender of defense and pursue his own defense. Therefore, if the client does not desire the representation under the terms offered by the insurer, the insurer must either choose to defend unqualifiedly or allow the insured to conduct its own defense of the action. If the insured chooses to conduct its own defense, the insured is responsible for all attorneys’ fees related thereto. The insurer is still potentially liable for indemnification for a judgment within the scope of insurance coverage.” (</w:t>
      </w:r>
      <w:r>
        <w:rPr>
          <w:rFonts w:ascii="Times New Roman" w:hAnsi="Times New Roman" w:cs="Times New Roman"/>
          <w:i/>
        </w:rPr>
        <w:t>Id</w:t>
      </w:r>
      <w:r>
        <w:rPr>
          <w:rFonts w:ascii="Times New Roman" w:hAnsi="Times New Roman" w:cs="Times New Roman"/>
        </w:rPr>
        <w:t>. at 1554-55)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i/>
        </w:rPr>
        <w:t>Policyholder May Sue for Breach</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“If the duties prescribed by the [rules of ethics] are not followed by retained counsel, various remedies exist to protect the insured: (1) professional malpractice; (2) bad faith; and (3) estoppel of the insurer to deny indemnification. [T]he insurer may also be liable if its actions caused the attorney’s breach of its duties.” (</w:t>
      </w:r>
      <w:r>
        <w:rPr>
          <w:rFonts w:ascii="Times New Roman" w:hAnsi="Times New Roman" w:cs="Times New Roman"/>
          <w:i/>
        </w:rPr>
        <w:t>Id</w:t>
      </w:r>
      <w:r>
        <w:rPr>
          <w:rFonts w:ascii="Times New Roman" w:hAnsi="Times New Roman" w:cs="Times New Roman"/>
        </w:rPr>
        <w:t>. at 1555-56)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Idaho</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insurer] elected to go forward with defense of the [liability] suit after having notice [the policyholder] would not consent to reservation of [the insurer’s] right to withdraw, and its continued assertion of such right of withdrawal thereafter was a breach of its insurance contract and created a hazard, to protect itself from which, [the policyholder] was justified in employing attorneys. A fee paid the attorneys is thus properly chargeable against [the insurer].” (</w:t>
      </w:r>
      <w:r>
        <w:rPr>
          <w:rFonts w:ascii="Times New Roman" w:hAnsi="Times New Roman" w:cs="Times New Roman"/>
          <w:i/>
        </w:rPr>
        <w:t>Boise Motor Car Co. v. St. Paul-Mercury Indem. Co.,</w:t>
      </w:r>
      <w:r>
        <w:rPr>
          <w:rFonts w:ascii="Times New Roman" w:hAnsi="Times New Roman" w:cs="Times New Roman"/>
        </w:rPr>
        <w:t xml:space="preserve"> 62 Idaho 438, 449, 112 P.2d 1011 (1941).</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Illinois</w:t>
      </w:r>
      <w:r>
        <w:rPr>
          <w:rFonts w:ascii="Times New Roman" w:hAnsi="Times New Roman" w:cs="Times New Roman"/>
        </w:rPr>
        <w:t xml:space="preserve"> Restatement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“[S]erious ethical questions prohibit an attorney from representing both the interests of [the insurer] and of [the policyholder]. [The policyholder] has the right to be defended in the [liability action] by an attorney of his own choice who shall have the right to control the conduct of the case. [The insurer has a] contractual obligation to reimburse [the policyholder] for the reasonable cost of defending the action.” (</w:t>
      </w:r>
      <w:r>
        <w:rPr>
          <w:rFonts w:ascii="Times New Roman" w:hAnsi="Times New Roman" w:cs="Times New Roman"/>
          <w:i/>
        </w:rPr>
        <w:t>Maryland Cas. Co. v. Peppers</w:t>
      </w:r>
      <w:r>
        <w:rPr>
          <w:rFonts w:ascii="Times New Roman" w:hAnsi="Times New Roman" w:cs="Times New Roman"/>
        </w:rPr>
        <w:t xml:space="preserve">, 64 Ill.2d 187, 198-99, 355 N.E.2d 24, 31 (Ill. 1976) (citation and ellipses omitted).)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“Notwithstanding the common interest of both insurer and insured in finding total nonliability in the third-party action, the remaining interests of the two conflicted to such an extent as to create an actual ethical conflict of interest warranting payment of the insured’s independent counsel by the insurer.” (</w:t>
      </w:r>
      <w:r>
        <w:rPr>
          <w:rFonts w:ascii="Times New Roman" w:hAnsi="Times New Roman" w:cs="Times New Roman"/>
          <w:i/>
        </w:rPr>
        <w:t>Nandorf, Inc. v. CNA Ins. Co.</w:t>
      </w:r>
      <w:r>
        <w:rPr>
          <w:rFonts w:ascii="Times New Roman" w:hAnsi="Times New Roman" w:cs="Times New Roman"/>
        </w:rPr>
        <w:t xml:space="preserve"> (1985) 134 Ill. App.3d 134, 140, 479 N.E.2d 988)</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“[I]f insurer-retained counsel would have the opportunity to shift facts in a way that takes the case outside the scope of policy coverage, then the insured is not required to defend the underlying suit with insurer-retained counsel. Rather, the insured is entitled to defend the suit with counsel of its choosing at the insurer’s expense. [I]n conflict situations, the insurer’s obligation to defend is satisfied by reimbursing the insured for the costs of independent counsel. [A] ruling that required an insured to be defended by what amounted to his enemy in the litigation would be foolish. Thus, [the policyholder] should not be forced to use [the insurer]’s attorneys to defend against [the injured plaintiff]’ claims. [The policyholder is] permitted to retain its own legal counsel to defend it against [the injured plaintiff]’ allegations at [the insurer]’s expense.” (</w:t>
      </w:r>
      <w:r>
        <w:rPr>
          <w:rFonts w:ascii="Times New Roman" w:hAnsi="Times New Roman" w:cs="Times New Roman"/>
          <w:i/>
        </w:rPr>
        <w:t>Amer. Family Mut. Ins. Co. v. W.H. McNaughton Builders, Inc.</w:t>
      </w:r>
      <w:r>
        <w:rPr>
          <w:rFonts w:ascii="Times New Roman" w:hAnsi="Times New Roman" w:cs="Times New Roman"/>
        </w:rPr>
        <w:t>, 843 N.E.2d 492, 498, 501-02 (Ill. 2006)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“Under the ‘familiar general rule of estoppel,’ if an insurer takes the position that 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potential insured is not covered, it must defend the suit under a reservation of rights or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seek a declaratory judgment. </w:t>
      </w:r>
      <w:r>
        <w:rPr>
          <w:rFonts w:ascii="Times New Roman" w:hAnsi="Times New Roman" w:cs="Times New Roman"/>
          <w:i/>
        </w:rPr>
        <w:t>Murphy</w:t>
      </w:r>
      <w:r>
        <w:rPr>
          <w:rFonts w:ascii="Times New Roman" w:hAnsi="Times New Roman" w:cs="Times New Roman"/>
        </w:rPr>
        <w:t>, 88 Ill.2d at 452. If the insurer fails to do this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wrongfully denies coverage, it is estopped from raising policy defenses to coverage.” “While [an insurer] did undertake the defense without a reservation of rights, that did not remove the possible conflict of [the insurer] benefitting by not providing a vigorous defense for [the policyholder].” (</w:t>
      </w:r>
      <w:r>
        <w:rPr>
          <w:rFonts w:ascii="Times New Roman" w:hAnsi="Times New Roman" w:cs="Times New Roman"/>
          <w:i/>
        </w:rPr>
        <w:t>Econ. Premier Assur. Co. v. Faith in Action of McHenry County</w:t>
      </w:r>
      <w:r>
        <w:rPr>
          <w:rFonts w:ascii="Times New Roman" w:hAnsi="Times New Roman" w:cs="Times New Roman"/>
        </w:rPr>
        <w:t>, Nos. 1-11-2329, 1-11-2457, IL App (2013).)</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“[D]efending both claims, intentional and negligent acts, would have put [the insurer] in a position of conflict, since a verdict based on an intentional act would free [the insurer] from coverage, while a verdict based upon negligence would result in coverage. When such conflicts arise, insurance companies must be freed from the responsibility to defend, but are generally responsible for paying the expenses incurred by the insured in defending.” (</w:t>
      </w:r>
      <w:r>
        <w:rPr>
          <w:rFonts w:ascii="Times New Roman" w:hAnsi="Times New Roman" w:cs="Times New Roman"/>
          <w:i/>
        </w:rPr>
        <w:t>American Family Mut. Ins. Co. v. Blackburn</w:t>
      </w:r>
      <w:r>
        <w:rPr>
          <w:rFonts w:ascii="Times New Roman" w:hAnsi="Times New Roman" w:cs="Times New Roman"/>
        </w:rPr>
        <w:t>, 566 N.E.2d 889 (Ill. App. 1991).)</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Indiana</w:t>
      </w:r>
      <w:r>
        <w:rPr>
          <w:rFonts w:ascii="Times New Roman" w:hAnsi="Times New Roman" w:cs="Times New Roman"/>
        </w:rPr>
        <w:t xml:space="preserve"> Restatement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“[ABA Rules of Professional Conduct] Rule 1.7(a) does not create a per se rule of any sort: Under this standard, attorneys, parties, and courts cannot resort to easy rules of thumb. [T]he question of whether an impermissible conflict of interest exists under Rule 1.7 often is one of proximity and degree. The critical questions are the likelihood that a difference in interests will eventuate and, if it does, whether it will materially interfere with the lawyer’s independent professional judgment in considering alternatives or foreclose courses of action that reasonably should be pursued on behalf of the client.” “[T]he Court notes that claims involving an attorney’s conflict of interest present mixed questions of law and fact. In short, resolution of the issue [whether a disqualifying conflict of interest exists] requires a close look at the nature of the conflicting interests, the issues in the underlying litigation, and the risk that the attorney’s relationship with the insurer will materially limit his representation of the insured. It is a case-specific and fact-sensitive inquiry in which the Court must look at which issues will necessarily be evidenced or proved in the underlying litigation, and whether there is a significant risk that any issues will be resolved which will in turn affect the coverage determination.” (</w:t>
      </w:r>
      <w:r>
        <w:rPr>
          <w:rFonts w:ascii="Times New Roman" w:hAnsi="Times New Roman" w:cs="Times New Roman"/>
          <w:i/>
        </w:rPr>
        <w:t>Auto-Owners Ins. Co. v. Lake Erie Land Co.</w:t>
      </w:r>
      <w:r>
        <w:rPr>
          <w:rFonts w:ascii="Times New Roman" w:hAnsi="Times New Roman" w:cs="Times New Roman"/>
        </w:rPr>
        <w:t xml:space="preserve"> 2:12-CV-184 JD (N.D. Ind. 2013) (citations, ellipses, and quotation marks omitted).)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“[A]n insurer must either file a declaratory judgment action or hire independent counsel and defend its insured under a reservation of rights. [A]n insurer can refuse to defend or clarify its obligation by means of a declaratory judgment action. If it refuses to defend it does so at its peril.” (</w:t>
      </w:r>
      <w:r>
        <w:rPr>
          <w:rFonts w:ascii="Times New Roman" w:hAnsi="Times New Roman" w:cs="Times New Roman"/>
          <w:i/>
        </w:rPr>
        <w:t>National Union Fire Ins. Co. v. Standard Fusee Corp</w:t>
      </w:r>
      <w:r>
        <w:rPr>
          <w:rFonts w:ascii="Times New Roman" w:hAnsi="Times New Roman" w:cs="Times New Roman"/>
        </w:rPr>
        <w:t>., 917 N.E.2d 170, 187 (Ind. 2009)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“In cases where the handling of the underlying litigation may affect whether the claim is covered or not covered, the conflict of interests may be sufficiently clear and immediate that one attorney cannot represent the interests of both the insurer and the insured. At the same time, not every reservation of rights poses a conflict for defense counsel. If the coverage dispute turns on issues that are independent of the issues in the underlying lawsuit, one lawyer selected by the insurer can handle the underlying litigation, and the insured and insurer can resolve the coverage dispute separately. How should courts, insurers, and policyholders distinguish between reservations of rights that create conflicts requiring informed consent by the insured and those that do not? The problem is governed at its core by the Rules of Professional Conduct. Whether the potential conflict of interest is sufficient to require the insured’s consent is a question of degree that requires some predictions about the course of the representation. If there is a reasonable possibility that the manner in which the insured is defended could affect the outcome of the insurer’s coverage dispute, then the conflict may be sufficient to require the insurer to pay for counsel of the insured’s choice. Evaluating that risk requires close attention to the details of the underlying litigation.” (</w:t>
      </w:r>
      <w:r>
        <w:rPr>
          <w:rFonts w:ascii="Times New Roman" w:hAnsi="Times New Roman" w:cs="Times New Roman"/>
          <w:i/>
        </w:rPr>
        <w:t>Armstrong Cleaners, Inc. v. Erie Ins. Exch.</w:t>
      </w:r>
      <w:r>
        <w:rPr>
          <w:rFonts w:ascii="Times New Roman" w:hAnsi="Times New Roman" w:cs="Times New Roman"/>
        </w:rPr>
        <w:t xml:space="preserve"> 363 F.Supp.2d 797, 806-08 (S.D. Ind. 2005) (citations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“[C]onflict does not relieve the insurance company of the responsibility for providing for the defense of the insured. The insurer must either provide an independent attorney to represent the insured, or pay for the cost of defense incurred by the insured hiring an attorney of his choice.” (</w:t>
      </w:r>
      <w:r>
        <w:rPr>
          <w:rFonts w:ascii="Times New Roman" w:hAnsi="Times New Roman" w:cs="Times New Roman"/>
          <w:i/>
        </w:rPr>
        <w:t>All-Star Ins. Corp. v. Steel Bar, Inc.,</w:t>
      </w:r>
      <w:r>
        <w:rPr>
          <w:rFonts w:ascii="Times New Roman" w:hAnsi="Times New Roman" w:cs="Times New Roman"/>
        </w:rPr>
        <w:t xml:space="preserve"> 324 F.Supp. 160, 165 (N.D. Ind. 1971)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Iowa</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“[A]n insurer who refuses, contrary to its contractual obligation, to defend a third-party action against its insured on the ground the policy involved affords no coverage is liable for attorney fees incurred by the insured in the defense of the action brought against him [or her].” (</w:t>
      </w:r>
      <w:r>
        <w:rPr>
          <w:rFonts w:ascii="Times New Roman" w:hAnsi="Times New Roman" w:cs="Times New Roman"/>
          <w:i/>
        </w:rPr>
        <w:t>Clarke-Peterson Co., Inc. v. Independent Ins. Asso. Ltd</w:t>
      </w:r>
      <w:r>
        <w:rPr>
          <w:rFonts w:ascii="Times New Roman" w:hAnsi="Times New Roman" w:cs="Times New Roman"/>
        </w:rPr>
        <w:t>, 514 N.W.2d 912, 915 (Iowa 1994).)</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Kansas</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“[T]here was a conflict of interest between the insured and the insurer in a civil action. The insurance company hired independent counsel to defend the insured in the civil action and notified the insured that it was reserving all rights under the policy. This procedure protects both the insured’s and the insurer’s interests and rights. We believe this is the proper procedure to protect the rights of both parties under their contract.” (</w:t>
      </w:r>
      <w:r>
        <w:rPr>
          <w:rFonts w:ascii="Times New Roman" w:hAnsi="Times New Roman" w:cs="Times New Roman"/>
          <w:i/>
        </w:rPr>
        <w:t>Patrons Mut. Ins. Ass’n v. Harmon</w:t>
      </w:r>
      <w:r>
        <w:rPr>
          <w:rFonts w:ascii="Times New Roman" w:hAnsi="Times New Roman" w:cs="Times New Roman"/>
        </w:rPr>
        <w:t>, 240 Kan. 707, 712, 732 P.2d 741 (1987)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Kentucky</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“We elect to align ourselves with those jurisdictions which hold that an insured is not required to accept a defense offered by the insurer under a reservation of rights. The reason for this is evident. When the insurer has the obligation to pay the judgment, it surely is entitled to control the defense of the claim. But when the insurer reserves a right to assert its nonliability for payment there is little or no reason to require the insured to surrender defense of the claim to a company which asserts that it has no obligation to satisfy the claim. Under such conditions the insured has the right to refuse the proffered defense and conduct his own defense.” (</w:t>
      </w:r>
      <w:r>
        <w:rPr>
          <w:rFonts w:ascii="Times New Roman" w:hAnsi="Times New Roman" w:cs="Times New Roman"/>
          <w:i/>
        </w:rPr>
        <w:t>Med. Protective Co. of Fort Wayne, Ind. v. Davis</w:t>
      </w:r>
      <w:r>
        <w:rPr>
          <w:rFonts w:ascii="Times New Roman" w:hAnsi="Times New Roman" w:cs="Times New Roman"/>
        </w:rPr>
        <w:t xml:space="preserve">, 581 S.W.2d 25, 26 (Ky. 1979) (citations omitted); see also, </w:t>
      </w:r>
      <w:r>
        <w:rPr>
          <w:rFonts w:ascii="Times New Roman" w:hAnsi="Times New Roman" w:cs="Times New Roman"/>
          <w:i/>
        </w:rPr>
        <w:t>Cincinnati Ins. Co. v. Vance</w:t>
      </w:r>
      <w:r>
        <w:rPr>
          <w:rFonts w:ascii="Times New Roman" w:hAnsi="Times New Roman" w:cs="Times New Roman"/>
        </w:rPr>
        <w:t>, 730 S.W.2d 521, 524 (Ky. 1987).</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true analysis of the relationship between the attorney hired by a liability insurer to represent the insured is that both are the attorney’s clients. The rules applicable to joint representation apply. In matters in which the interest of the company and the insured diverge, such as a coverage issue, the company is the primary client, so that advice given to the company on such an issue by the attorney is privileged as to the insured. If a conflict of interest arises, the attorney must so advise the insured and advise him or her and of his right to retain his own attorney. In such cases, the insured typically does retain her own attorney.” (</w:t>
      </w:r>
      <w:r>
        <w:rPr>
          <w:rFonts w:ascii="Times New Roman" w:hAnsi="Times New Roman" w:cs="Times New Roman"/>
          <w:i/>
        </w:rPr>
        <w:t>Lee v. Med. Protective Co.</w:t>
      </w:r>
      <w:r>
        <w:rPr>
          <w:rFonts w:ascii="Times New Roman" w:hAnsi="Times New Roman" w:cs="Times New Roman"/>
        </w:rPr>
        <w:t>, 858 F. Supp.2d 803, 806 (E.D. Ky. 2012)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However, one federal court predicted that “It is also unlikely that the Kentucky Supreme Court would presume that insurance defense counsel will behave unethically.” (</w:t>
      </w:r>
      <w:r>
        <w:rPr>
          <w:rFonts w:ascii="Times New Roman" w:hAnsi="Times New Roman" w:cs="Times New Roman"/>
          <w:i/>
        </w:rPr>
        <w:t>Outdoor Venture Corp. v. Philadelphia Indem. Ins. Co.</w:t>
      </w:r>
      <w:r>
        <w:rPr>
          <w:rFonts w:ascii="Times New Roman" w:hAnsi="Times New Roman" w:cs="Times New Roman"/>
        </w:rPr>
        <w:t xml:space="preserve"> (6:16-cv-182-KKC, E.D.Ken. 2018))</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Louisiana</w:t>
      </w:r>
      <w:r>
        <w:rPr>
          <w:rFonts w:ascii="Times New Roman" w:hAnsi="Times New Roman" w:cs="Times New Roman"/>
        </w:rPr>
        <w:t xml:space="preserve"> Restatement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representation of either of the two attorneys offered to [the policyholder] by [the insurer] may constitute a breach of Rule 1.7. Such representation would ostensibly ‘be materially limited by [each] lawyer’s responsibilities to another client or to a third person’. . . . Under the jurisprudence and the rules of the Rules of Professional Conduct, separate counsel must be employed to represent [the policyholder] to avoid a conflict of interest. We find no error in the trial court’s conclusion that, under the facts presented, [the policyholder] is entitled to select independent counsel. ¶ [W]e hold that in this case, based on the allegations of the pleadings, the denial of coverage by [the insurer] is an event for which [the policyholder] is entitled by law to select independent counsel to represent them at [the insurer’s] expense.” (</w:t>
      </w:r>
      <w:r>
        <w:rPr>
          <w:rFonts w:ascii="Times New Roman" w:hAnsi="Times New Roman" w:cs="Times New Roman"/>
          <w:i/>
        </w:rPr>
        <w:t>Belanger v. Gabriel Chemicals, Inc.</w:t>
      </w:r>
      <w:r>
        <w:rPr>
          <w:rFonts w:ascii="Times New Roman" w:hAnsi="Times New Roman" w:cs="Times New Roman"/>
        </w:rPr>
        <w:t>, 787 So.2d 559, 565-66 (2001).)</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“[W]here the insurer either denies coverage to the insured or reserves its rights to do so subsequently, it would be improper for the same attorney to represent both the insurer and the insured.’ Accordingly, if the insurer chooses to represent the insured but deny coverage, it must employ separate counsel.” (</w:t>
      </w:r>
      <w:r>
        <w:rPr>
          <w:rFonts w:ascii="Times New Roman" w:hAnsi="Times New Roman" w:cs="Times New Roman"/>
          <w:i/>
        </w:rPr>
        <w:t>Emery v. Progressive Cas. Ins. Co.</w:t>
      </w:r>
      <w:r>
        <w:rPr>
          <w:rFonts w:ascii="Times New Roman" w:hAnsi="Times New Roman" w:cs="Times New Roman"/>
        </w:rPr>
        <w:t>, 49 So.3d 17, 20-21 (La. 2010).)</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 xml:space="preserve">Maine </w:t>
      </w:r>
      <w:r>
        <w:rPr>
          <w:rFonts w:ascii="Times New Roman" w:hAnsi="Times New Roman" w:cs="Times New Roman"/>
        </w:rPr>
        <w:t>“per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“[A]n insurer who reserves the right to deny coverage cannot control the defense of a lawsuit brought against its insured by an injured party. This position strikes a fair balance between the insurer and the insured. By allowing the insured to control his own case when the insurer issues a reservation of rights, the insured can protect himself from the sharp thrust of personal liability, and the insurer still has a meaningful opportunity to protect its own interests in a declaratory judgment action where it may assert, among other things, a coverage defense. Because [the insurer] chose to defend [the policyholder] under a reservation of rights, it gave up the ability to control [the policyholder]’s defense.” (</w:t>
      </w:r>
      <w:r>
        <w:rPr>
          <w:rFonts w:ascii="Times New Roman" w:hAnsi="Times New Roman" w:cs="Times New Roman"/>
          <w:i/>
        </w:rPr>
        <w:t>Patrons Oxford Ins. Co. v. Harris</w:t>
      </w:r>
      <w:r>
        <w:rPr>
          <w:rFonts w:ascii="Times New Roman" w:hAnsi="Times New Roman" w:cs="Times New Roman"/>
        </w:rPr>
        <w:t xml:space="preserve">, 905 A.2d 819, 825-26 (Me. 2006) (citations, quotation marks, and ellipses omitted).)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well-established policy [is] that an insurer who reserves the right to deny coverage cannot control the defense of a lawsuit brought against its insured by an injured party. Allowing the insurer to intervene to protect its contingent interest would allow it to interfere with and in effect control the defense. Such intervention would unfairly restrict the insured, who faces the very real risk of an uninsured liability, and grant the insurer a double bite at escaping liability.” (</w:t>
      </w:r>
      <w:r>
        <w:rPr>
          <w:rFonts w:ascii="Times New Roman" w:hAnsi="Times New Roman" w:cs="Times New Roman"/>
          <w:i/>
        </w:rPr>
        <w:t>Travelers Indem. Co. v. Dingwell,</w:t>
      </w:r>
      <w:r>
        <w:rPr>
          <w:rFonts w:ascii="Times New Roman" w:hAnsi="Times New Roman" w:cs="Times New Roman"/>
        </w:rPr>
        <w:t xml:space="preserve"> 884 F.2d 629, 638-39 (1st Cir. 1989) (Maine law)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Maryland</w:t>
      </w:r>
      <w:r>
        <w:rPr>
          <w:rFonts w:ascii="Times New Roman" w:hAnsi="Times New Roman" w:cs="Times New Roman"/>
        </w:rPr>
        <w:t xml:space="preserve"> Restatement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“When a conflict of interest arises, the insured must be informed of the nature of the conflict and given the right either to accept an independent attorney selected by the insurer or to select an attorney himself to conduct his defense. If the insured elects to choose his own attorney, the insurer must assume the reasonable costs of the defense provided.” (</w:t>
      </w:r>
      <w:r>
        <w:rPr>
          <w:rFonts w:ascii="Times New Roman" w:hAnsi="Times New Roman" w:cs="Times New Roman"/>
          <w:i/>
        </w:rPr>
        <w:t>Brohawn v. Transamerica Ins. Co.</w:t>
      </w:r>
      <w:r>
        <w:rPr>
          <w:rFonts w:ascii="Times New Roman" w:hAnsi="Times New Roman" w:cs="Times New Roman"/>
        </w:rPr>
        <w:t xml:space="preserve"> 276 Md. 396, 414-15, 347 A.2d 842] (1975).</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“[I]f an insurer breaches its contractual duty to defend a claim that falls within or potentially falls within the policy’s coverage, then the insurer is liable for attorneys’ fees incurred in the underlying defense of that claim.” (</w:t>
      </w:r>
      <w:r>
        <w:rPr>
          <w:rFonts w:ascii="Times New Roman" w:hAnsi="Times New Roman" w:cs="Times New Roman"/>
          <w:i/>
        </w:rPr>
        <w:t>Campbell v. Allstate Ins. Co.</w:t>
      </w:r>
      <w:r>
        <w:rPr>
          <w:rFonts w:ascii="Times New Roman" w:hAnsi="Times New Roman" w:cs="Times New Roman"/>
        </w:rPr>
        <w:t>, 96 Md. 277, 624 A.2d 1310 (1993)</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interests of insurer and policyholder “may diverge at times, creating a potential or actual conflict of interest. A common situation creating a conflict of interest is one where coverage is an issue [such as where a plaintiff raises] both covered and noncovered claims against the insured. Because it was in the insurer’s interest to establish noncoverage, and in the insured’s interest to be found liable only for the covered claims, it was necessary for the insurer to allow the insured to choose independent counsel.” (</w:t>
      </w:r>
      <w:r>
        <w:rPr>
          <w:rFonts w:ascii="Times New Roman" w:hAnsi="Times New Roman" w:cs="Times New Roman"/>
          <w:i/>
        </w:rPr>
        <w:t>Allstate Ins. Co. v. Campbell</w:t>
      </w:r>
      <w:r>
        <w:rPr>
          <w:rFonts w:ascii="Times New Roman" w:hAnsi="Times New Roman" w:cs="Times New Roman"/>
        </w:rPr>
        <w:t>, 334 Md. 381, 392, 639 A.2d 652, 657 (1994) (citations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“In (</w:t>
      </w:r>
      <w:r>
        <w:rPr>
          <w:rFonts w:ascii="Times New Roman" w:hAnsi="Times New Roman" w:cs="Times New Roman"/>
          <w:i/>
        </w:rPr>
        <w:t>Brohawn v. Transamerica Ins. Co.</w:t>
      </w:r>
      <w:r>
        <w:rPr>
          <w:rFonts w:ascii="Times New Roman" w:hAnsi="Times New Roman" w:cs="Times New Roman"/>
        </w:rPr>
        <w:t>, 276 Md. 396, 347 A.2d 842 (1975)) the Court did not hold . . . that in every circumstance where a reservation of rights is made due to the presence of covered and uncovered claims a conflict is created. Nor did it hold that when a conflict is created an insured is always entitled to reject an insurer-selected counsel in favor of someone the insured selects.” (</w:t>
      </w:r>
      <w:r>
        <w:rPr>
          <w:rFonts w:ascii="Times New Roman" w:hAnsi="Times New Roman" w:cs="Times New Roman"/>
          <w:i/>
        </w:rPr>
        <w:t>Cardin v. Pac. Emp. Ins. Co.</w:t>
      </w:r>
      <w:r>
        <w:rPr>
          <w:rFonts w:ascii="Times New Roman" w:hAnsi="Times New Roman" w:cs="Times New Roman"/>
        </w:rPr>
        <w:t>, 745 F.Supp. 330, 336 (1990).)</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Massachusetts</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“When an insurer seeks to defend its insured under a reservation of rights, and the insured is unwilling that the insurer do so, the insured may require the insurer either to relinquish its reservation of rights or relinquish its defense of the insured and reimburse the insured for its defense costs.” (</w:t>
      </w:r>
      <w:r>
        <w:rPr>
          <w:rFonts w:ascii="Times New Roman" w:hAnsi="Times New Roman" w:cs="Times New Roman"/>
          <w:i/>
        </w:rPr>
        <w:t>Northern Security Ins. Co., Inc. v. R.H. Realty Trust</w:t>
      </w:r>
      <w:r>
        <w:rPr>
          <w:rFonts w:ascii="Times New Roman" w:hAnsi="Times New Roman" w:cs="Times New Roman"/>
        </w:rPr>
        <w:t>, 78 Mass. App. Ct. 691, 694-95, 941 N.E.2d 688 (2011).</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insurer] had a duty to defend the [the policyholder] in the actions at law without a reservation of rights or claim of nonwaiver, so long as it insisted on retaining control of the defence.” (</w:t>
      </w:r>
      <w:r>
        <w:rPr>
          <w:rFonts w:ascii="Times New Roman" w:hAnsi="Times New Roman" w:cs="Times New Roman"/>
          <w:i/>
        </w:rPr>
        <w:t>Three Sons, Inc. v. Phoenix Ins. Co.,</w:t>
      </w:r>
      <w:r>
        <w:rPr>
          <w:rFonts w:ascii="Times New Roman" w:hAnsi="Times New Roman" w:cs="Times New Roman"/>
        </w:rPr>
        <w:t xml:space="preserve"> 357 Mass. 271, 277, 257 N.E.2d 774 (1970).)</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“When an insurer seeks to defend its insured under a reservation of rights, and the insured is unwilling that the insurer do so, the insured may require the insurer either to relinquish its reservation of rights or relinquish its defense of the insured and reimburse the insured for its defense costs.” (</w:t>
      </w:r>
      <w:r>
        <w:rPr>
          <w:rFonts w:ascii="Times New Roman" w:hAnsi="Times New Roman" w:cs="Times New Roman"/>
          <w:i/>
        </w:rPr>
        <w:t>Herbert A. Sullivan, Inc. v. Utica Mut. Ins. Co.</w:t>
      </w:r>
      <w:r>
        <w:rPr>
          <w:rFonts w:ascii="Times New Roman" w:hAnsi="Times New Roman" w:cs="Times New Roman"/>
        </w:rPr>
        <w:t>, 439 Mass. 387, 788 N.E.2d 522, 539 (2003).)</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Michigan</w:t>
      </w:r>
      <w:r>
        <w:rPr>
          <w:rFonts w:ascii="Times New Roman" w:hAnsi="Times New Roman" w:cs="Times New Roman"/>
        </w:rPr>
        <w:t xml:space="preserve"> “Enhanced Duties”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In </w:t>
      </w:r>
      <w:r>
        <w:rPr>
          <w:rFonts w:ascii="Times New Roman" w:hAnsi="Times New Roman" w:cs="Times New Roman"/>
          <w:i/>
        </w:rPr>
        <w:t>Federal Ins. Co. v. X-Rite</w:t>
      </w:r>
      <w:r>
        <w:rPr>
          <w:rFonts w:ascii="Times New Roman" w:hAnsi="Times New Roman" w:cs="Times New Roman"/>
        </w:rPr>
        <w:t xml:space="preserve">, </w:t>
      </w:r>
      <w:r>
        <w:rPr>
          <w:rFonts w:ascii="Times New Roman" w:hAnsi="Times New Roman" w:cs="Times New Roman"/>
          <w:i/>
        </w:rPr>
        <w:t>Inc.</w:t>
      </w:r>
      <w:r>
        <w:rPr>
          <w:rFonts w:ascii="Times New Roman" w:hAnsi="Times New Roman" w:cs="Times New Roman"/>
        </w:rPr>
        <w:t>, 748 F. Supp. 1223, (W.D. Mich. 1990), a federal court interpreting Michigan law ruled that an insurer’s reservation of rights creates a conflict of interest that requires the insurer to hire independent counsel, but that the insurer may select the “independent” counsel if the policyholder fails to object and show that dependent counsel was not “independent”.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“[W]hen a conflict of interest between the [insurer and the policyholder] arises and a conflict of interest arises, the insured must be informed and given the right either to accept an independent attorney selected by the insurer or to select an attorney himself to conduct his defense; if the insured elects to choose his own attorney, the insurer must assume the reasonable costs of the defense provided. [T]he Michigan Supreme Court is open to permitting the insured to control the litigation, by either accepting the insurer’s proposed independent counsel or, at the insured’s option, selecting its own, at the insurer’s expense. On the other hand, it may choose to provide a defense with a reservation of rights. In the latter case the insurer’s desire to control the litigation must give way to its obligation to defend the insured. [T]he insurer should provide independent counsel to control the defense or allow the insured to hire his own counsel to be paid by the insurer. [W]hen the insurer controls the litigation, defense counsel may be faced with a conflict of interest which creates a real danger that the insured will be prejudiced. Because specific instances of prejudice are difficult to prove after the fact, a prophylactic rule was justified. There is widespread agreement in the case law [of other states] that, where there is a conflict of interest, the insurer ought to retain independent counsel or pay for one chosen by the insured. Yet, there is little consensus as to who ultimately has the </w:t>
      </w:r>
      <w:r>
        <w:rPr>
          <w:rFonts w:ascii="Times New Roman" w:hAnsi="Times New Roman" w:cs="Times New Roman"/>
          <w:i/>
        </w:rPr>
        <w:t>right</w:t>
      </w:r>
      <w:r>
        <w:rPr>
          <w:rFonts w:ascii="Times New Roman" w:hAnsi="Times New Roman" w:cs="Times New Roman"/>
        </w:rPr>
        <w:t xml:space="preserve"> to choose counsel where the insurer and insured cannot agree. The </w:t>
      </w:r>
      <w:r>
        <w:rPr>
          <w:rFonts w:ascii="Times New Roman" w:hAnsi="Times New Roman" w:cs="Times New Roman"/>
          <w:i/>
        </w:rPr>
        <w:t>Cumis</w:t>
      </w:r>
      <w:r>
        <w:rPr>
          <w:rFonts w:ascii="Times New Roman" w:hAnsi="Times New Roman" w:cs="Times New Roman"/>
        </w:rPr>
        <w:t xml:space="preserve"> approach is not exclusive, however. Many cases have recognized a right in the insurer to determine whether to provide independent counsel of its choosing or to reimburse the insured for counsel of its choice. [U]nder the facts of this case, [the policyholder] was not entitled to insist on counsel of its choice at [the insurer]’s expense. Several factors contribute to this conclusion. [The insurer] tendered the representation of ‘independent counsel,’ [insurer appointed counsel]. [The policyholder] objected not because it believed [insurer appointed counsel] was not ‘independent’. Accordingly, the Court concludes, under the present facts, that the conflict of interest posed by [the insurer]’s reservation of rights did not automatically entitle [the policyholder] to select counsel of its choice at [the insurer]’s expense. There being no showing that [insurer appointed counsel] was not independent or that representation by [insurer appointed counsel] represented a breach of [the insurer]’s duty of good faith or resulted in an actual conflict or created a substantial risk of prejudice to [the policyholder]’s interests, [the policyholder] was not justified in refusing the tendered representation of [insurer appointed counsel]. Hence, [the policyholder], cannot avoid its obligation under the policy to bear the expenses which it voluntarily incurred by retaining the services of [private counsel].” (</w:t>
      </w:r>
      <w:r>
        <w:rPr>
          <w:rFonts w:ascii="Times New Roman" w:hAnsi="Times New Roman" w:cs="Times New Roman"/>
          <w:i/>
        </w:rPr>
        <w:t>Id</w:t>
      </w:r>
      <w:r>
        <w:rPr>
          <w:rFonts w:ascii="Times New Roman" w:hAnsi="Times New Roman" w:cs="Times New Roman"/>
        </w:rPr>
        <w:t>. at 1226-30,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Minnesota</w:t>
      </w:r>
      <w:r>
        <w:rPr>
          <w:rFonts w:ascii="Times New Roman" w:hAnsi="Times New Roman" w:cs="Times New Roman"/>
        </w:rPr>
        <w:t xml:space="preserve"> Restatement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“When a conflict of interest exists - such as when an insurer accepts the tender of defense but also disputes coverage - the insurer’s duty to defend is transformed into a duty to reimburse [the insured] for reasonable attorneys’ fees. In such circumstances, an insurer is only required to reimburse its insured for ‘reasonable’ attorney’s fees. [The insurer]’s duty to defend was transformed into a duty to reimburse [the policyholder] for reasonable defense costs.” (</w:t>
      </w:r>
      <w:r>
        <w:rPr>
          <w:rFonts w:ascii="Times New Roman" w:hAnsi="Times New Roman" w:cs="Times New Roman"/>
          <w:i/>
        </w:rPr>
        <w:t>Continental Cas. Co. v. National Union Fire Ins. Co. of Pittsburgh, Pa.</w:t>
      </w:r>
      <w:r>
        <w:rPr>
          <w:rFonts w:ascii="Times New Roman" w:hAnsi="Times New Roman" w:cs="Times New Roman"/>
        </w:rPr>
        <w:t>, 940 F. Supp.2d 898, 928-29 (D. Minn. 2013)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“[B]efore an insured will be entitled to counsel of its own choice, an actual conflict of interest, rather than an appearance of a conflict of interest, must be established. However, the determinative issue must be what effect the [reservation of rights] letter actually had in this case. A finding of conflict of interest must rest on more substantial evidence, such as actions which demonstrate a greater concern for [the insurer]’s interests than [the policyholders]’ interests. The underlying litigation in this matter provided almost no opportunity for manipulation of liability toward non-covered claims. That litigation has been settled.” (</w:t>
      </w:r>
      <w:r>
        <w:rPr>
          <w:rFonts w:ascii="Times New Roman" w:hAnsi="Times New Roman" w:cs="Times New Roman"/>
          <w:i/>
        </w:rPr>
        <w:t>Mutual Service Cas. Ins. Co. v. Luetmer</w:t>
      </w:r>
      <w:r>
        <w:rPr>
          <w:rFonts w:ascii="Times New Roman" w:hAnsi="Times New Roman" w:cs="Times New Roman"/>
        </w:rPr>
        <w:t>, 474 N.W.2d 365, 368-69 (Minn. Ct. App. 1991)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“[O]rdinarily an insurer’s breach of its duty to defend subjects it to liability for the insured’s litigation expenses.” (</w:t>
      </w:r>
      <w:r>
        <w:rPr>
          <w:rFonts w:ascii="Times New Roman" w:hAnsi="Times New Roman" w:cs="Times New Roman"/>
          <w:i/>
        </w:rPr>
        <w:t>Capitol Indemnity Corp. v. St. Paul Fire &amp; Marine Insurance Co.</w:t>
      </w:r>
      <w:r>
        <w:rPr>
          <w:rFonts w:ascii="Times New Roman" w:hAnsi="Times New Roman" w:cs="Times New Roman"/>
        </w:rPr>
        <w:t>, 357 F.Supp. 399, 414 (W.D.Wis. 1972) (Minn. law).</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Mississippi</w:t>
      </w:r>
      <w:r>
        <w:rPr>
          <w:rFonts w:ascii="Times New Roman" w:hAnsi="Times New Roman" w:cs="Times New Roman"/>
        </w:rPr>
        <w:t xml:space="preserve"> Restatement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“When defending under a reservation of rights, however, a special obligation is placed upon the insurance carrier. [O]ther jurisdictions have generally held that in such a situation, not only must the insured be given the opportunity to select his own counsel to defend the claim, the carrier must also pay the legal fees reasonably incurred in the defense. In cases where an insurer asserts either policy or coverage defenses, and defends its insured under a reservation of rights, there are various conflicts of interest between the insurer and the insured. First, if the insurer knows that it can later assert non-coverage, or if it thinks that the loss which it is defending will not be covered under the policy, it may only go through the motions of defending: ‘it may offer only a token defense. [I]t may not be motivated to achieve the lowest possible settlement or in other ways treat the interests of the insured as its own. Second, if there are several theories of recovery, at least one of which is not covered under the policy, the insurer might conduct the defense in such a manner as to make the likelihood of a plaintiff’s verdict greater under the uninsured theory. Third, the insurer might gain access to confidential or privileged information in the process of the defense which it might later use to its advantage in litigation concerning coverage.” (</w:t>
      </w:r>
      <w:r>
        <w:rPr>
          <w:rFonts w:ascii="Times New Roman" w:hAnsi="Times New Roman" w:cs="Times New Roman"/>
          <w:i/>
        </w:rPr>
        <w:t>Moeller v. American Guar. &amp; Liab. Ins. Co.</w:t>
      </w:r>
      <w:r>
        <w:rPr>
          <w:rFonts w:ascii="Times New Roman" w:hAnsi="Times New Roman" w:cs="Times New Roman"/>
        </w:rPr>
        <w:t xml:space="preserve"> 707 So.2d 1062, 1069 (Miss. 1996)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“When there is a question of coverage, however, and the insurance company notifies the insured that it will fulfill its obligation to defend the suit, while at the same time reserving a right to deny coverage of the insured’s conduct, the insurance company-employed defense lawyer is presented with an ethical question up front. Also, in the course of preparation for trial or his representation, if there develop facts which may exclude coverage, leaving his insured client high and dry, he is again presented with an ethical dilemma. The lawyer may be required to withdraw from the case altogether, or restricted in his continuing representation with the insurance company furnishing at its expense an independent counsel chosen by the insured to represent his own interests. When any such situation is presented or arises, it is the professional and ethical obligation of the lawyer to recognize it, and take the appropriate action to see that the interests of both clients are preserved. He certainly is prohibited from taking any action which may injure either client. This is basic to the duties of any attorney representing clients in litigation.” (</w:t>
      </w:r>
      <w:r>
        <w:rPr>
          <w:rFonts w:ascii="Times New Roman" w:hAnsi="Times New Roman" w:cs="Times New Roman"/>
          <w:i/>
        </w:rPr>
        <w:t>Foster, supra</w:t>
      </w:r>
      <w:r>
        <w:rPr>
          <w:rFonts w:ascii="Times New Roman" w:hAnsi="Times New Roman" w:cs="Times New Roman"/>
        </w:rPr>
        <w:t>, 528 So.2d at 269, 270.)</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“Any lawyer who attempts to represent two adverse masters places himself in a precarious, perilous position. [Rules of ethics] are distilled principles of ancient, time-honored, and judicially-enforced conduct on the part of lawyers in representing clients. Without them our system of justice would be doomed. It hardly needs to be added that no insurance policy can validly diminish a lawyer’s duty to his insured client. In sum, the ethical dilemma thus imposed upon the carrier-employed defense attorney would tax Socrates, and no decision or authority we have studied furnishes a completely satisfactory answer.” (</w:t>
      </w:r>
      <w:r>
        <w:rPr>
          <w:rFonts w:ascii="Times New Roman" w:hAnsi="Times New Roman" w:cs="Times New Roman"/>
          <w:i/>
        </w:rPr>
        <w:t>Foster, supra</w:t>
      </w:r>
      <w:r>
        <w:rPr>
          <w:rFonts w:ascii="Times New Roman" w:hAnsi="Times New Roman" w:cs="Times New Roman"/>
        </w:rPr>
        <w:t>, 528 So.2d at 269, 274.)</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Missouri</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“Upon proper notice to the insured, Missouri law permits an insurer to defend its insured but reserve the right to later disclaim coverage. The insured then has the option of either accepting the insurer’s defense under a reservation of rights or refusing such defense. If the fully-notified insured accepts, the insurer’s defense under a reservation of rights will not be considered a denial of coverage. But, the decision is the insured’s, and [i]nsurers cannot force insureds to accept a reservation of rights defense. Should the insured reject the defense, the insurer then has one of three options: (1) [it] may represent the insured without a reservation of rights defense; (2) [it] may withdraw from representing the insured altogether; or (3) [it] may file a declaratory judgment action to determine the scope of [the] policy’s coverage. If the insurer chooses to defend without reservation, it has the opportunity to control the litigation. If the insurer chooses [to] files a declaratory judgment action, the decision is a risky one [because it] is treated as a refusal to defend an insured, and, if unjustified, the insurer is treated as if it waived any control of the defense [and rights to participate in] the underlying tort action. If its decision concerning coverage is wrong [the insurer] should be bound by the decision it has made.” (</w:t>
      </w:r>
      <w:r>
        <w:rPr>
          <w:rFonts w:ascii="Times New Roman" w:hAnsi="Times New Roman" w:cs="Times New Roman"/>
          <w:i/>
        </w:rPr>
        <w:t>Truck Ins. Exch. v. Prairie Framing, LLC</w:t>
      </w:r>
      <w:r>
        <w:rPr>
          <w:rFonts w:ascii="Times New Roman" w:hAnsi="Times New Roman" w:cs="Times New Roman"/>
        </w:rPr>
        <w:t>, 162 S.W.3d 64, 88 (Mo. 2005)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 potential conflict between the interests of the insurer and its insured in this case is apparent. Common logic dictates that in such circumstances, counsel for [the insurer] would be inclined to bend his efforts, however unconsciously, toward establishing that any recovery by [the plaintiff] would be grounded on the theory of [the plaintiff’s] claim which was not covered by the policy. This potential conflict of interest, however, does not relieve [the insurer] of its contractual obligation to defend [the policyholder]. To avoid the potential conflict of interest, [the insurer] must either provide an independent attorney to represent the insured or pay the costs incurred by the insured in hiring counsel of its own choice.” (</w:t>
      </w:r>
      <w:r>
        <w:rPr>
          <w:rFonts w:ascii="Times New Roman" w:hAnsi="Times New Roman" w:cs="Times New Roman"/>
          <w:i/>
        </w:rPr>
        <w:t>Howard v. Russell Stover Candies Inc.,</w:t>
      </w:r>
      <w:r>
        <w:rPr>
          <w:rFonts w:ascii="Times New Roman" w:hAnsi="Times New Roman" w:cs="Times New Roman"/>
        </w:rPr>
        <w:t xml:space="preserve"> 649 F.2d 620, 625 (8th Cir. 1981) (Mo. law)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“In view of its attempt to reserve the coverage question, the insurer had no right to insist upon controlling the defense.” (</w:t>
      </w:r>
      <w:r>
        <w:rPr>
          <w:rFonts w:ascii="Times New Roman" w:hAnsi="Times New Roman" w:cs="Times New Roman"/>
          <w:i/>
        </w:rPr>
        <w:t>Butters v. City of Independence,</w:t>
      </w:r>
      <w:r>
        <w:rPr>
          <w:rFonts w:ascii="Times New Roman" w:hAnsi="Times New Roman" w:cs="Times New Roman"/>
        </w:rPr>
        <w:t xml:space="preserve"> 513 S.W.2d 418, 425 (Mo. 1974); See also, </w:t>
      </w:r>
      <w:r>
        <w:rPr>
          <w:rFonts w:ascii="Times New Roman" w:hAnsi="Times New Roman" w:cs="Times New Roman"/>
          <w:i/>
        </w:rPr>
        <w:t>Mid-Century Ins. Co. v. McKelvey,</w:t>
      </w:r>
      <w:r>
        <w:rPr>
          <w:rFonts w:ascii="Times New Roman" w:hAnsi="Times New Roman" w:cs="Times New Roman"/>
        </w:rPr>
        <w:t xml:space="preserve"> 666 S.W.2d 457, 459 (Mo. 1984).</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Montana</w:t>
      </w:r>
      <w:r>
        <w:rPr>
          <w:rFonts w:ascii="Times New Roman" w:hAnsi="Times New Roman" w:cs="Times New Roman"/>
        </w:rPr>
        <w:t xml:space="preserve"> “per se” in search of an articulate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insurer] argues that it should be allowed to defend rather than paying counsel to defend the action. However, the inconsistent and yes, antagonistic positions that have developed make it clear that [the policyholder] was required to hire his own counsel.” (</w:t>
      </w:r>
      <w:r>
        <w:rPr>
          <w:rFonts w:ascii="Times New Roman" w:hAnsi="Times New Roman" w:cs="Times New Roman"/>
          <w:i/>
        </w:rPr>
        <w:t xml:space="preserve">St. Paul Fire &amp; Marine Ins. Co. v. Thompson, </w:t>
      </w:r>
      <w:r>
        <w:rPr>
          <w:rFonts w:ascii="Times New Roman" w:hAnsi="Times New Roman" w:cs="Times New Roman"/>
        </w:rPr>
        <w:t>433 P.2d 795, 799 (Mont. 1967).</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Nebraska</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“Reservation of rights is a means by which prior to a determination of the liability of the insured, the insurer seeks to suspend the operation of waiver and estoppel. When coverage is in doubt, the insurer may offer to defend the insured, reserving all of its policy defenses in case the insured is found liable. Upon such notification the insured may either accept the reservation of rights and allow the company to defend or it may reject the reservation of rights and take over the defense itself. The policy reasons underlying reservation of rights are two-fold: (1) to allow an insured to more ably protect its own interests by retaining control over its own defense, and (2) to avoid conflicts of interest between the insurer and its insured.” (</w:t>
      </w:r>
      <w:r>
        <w:rPr>
          <w:rFonts w:ascii="Times New Roman" w:hAnsi="Times New Roman" w:cs="Times New Roman"/>
          <w:i/>
        </w:rPr>
        <w:t>First United Bank of Bellevue v. First American Title Ins. Co.</w:t>
      </w:r>
      <w:r>
        <w:rPr>
          <w:rFonts w:ascii="Times New Roman" w:hAnsi="Times New Roman" w:cs="Times New Roman"/>
        </w:rPr>
        <w:t xml:space="preserve"> 242 Neb. 640, 496 N.W.2d 474, 481 (1993)</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“We are not to be understood as holding that an insurer may reserve its right to disclaim liability in a case and at the same time insist on retaining control of its defence. The unequivocal denial of all liability to pay a loss under its insurance policy, disqualifies the insurance company from defending a suit against the assured for the recovery of damages which the insurance company says is not covered by its policy. [The policyholders] had the right to defend the claim by securing the services of an attorney of their own selection. In the very nature of things, could it be expected of the [policyholders] that they would further entrust the defense of their damage cases to attorneys employed by the insurer after the insurer caused such attorneys to take a position directly opposed to their interests? We think not, especially in view of the Canons of Professional Ethics, the design of which canons was to guide the members of the legal profession and to protect the rights of litigants in their relations with legal representatives.” (</w:t>
      </w:r>
      <w:r>
        <w:rPr>
          <w:rFonts w:ascii="Times New Roman" w:hAnsi="Times New Roman" w:cs="Times New Roman"/>
          <w:i/>
        </w:rPr>
        <w:t>Hawkeye Cas. Co. v. Stoker</w:t>
      </w:r>
      <w:r>
        <w:rPr>
          <w:rFonts w:ascii="Times New Roman" w:hAnsi="Times New Roman" w:cs="Times New Roman"/>
        </w:rPr>
        <w:t>, 48 N.W.2d 623, 631-32 (Neb. 1951)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Nevada</w:t>
      </w:r>
      <w:r>
        <w:rPr>
          <w:rFonts w:ascii="Times New Roman" w:hAnsi="Times New Roman" w:cs="Times New Roman"/>
        </w:rPr>
        <w:t xml:space="preserve"> Restatement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“Nevada law requires an insurer to provide independent counsel for its insured when a conflict of interest arises between the insurer and the insured. Nevada recognizes that the insurer and the insured are dual clients of insurer-appointed counsel. When the insured and the insurer have opposing legal interests, Nevada law requires insurers to fulfill their contractual duty to defend their insureds by allowing insureds to select their own independent counsel and paying for such representation. We further conclude that an insurer is only obligated to provide independent counsel when the insured’s and the insurer’s legal interests actually conflict. A reservation of rights letter does not create a per se conflict of interest.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“Courts rejecting the </w:t>
      </w:r>
      <w:r>
        <w:rPr>
          <w:rFonts w:ascii="Times New Roman" w:hAnsi="Times New Roman" w:cs="Times New Roman"/>
          <w:i/>
        </w:rPr>
        <w:t>Cumis</w:t>
      </w:r>
      <w:r>
        <w:rPr>
          <w:rFonts w:ascii="Times New Roman" w:hAnsi="Times New Roman" w:cs="Times New Roman"/>
        </w:rPr>
        <w:t xml:space="preserve"> rule have not recognized the existence of a conflict of interest in such cases. These courts have reasoned that the sole client is the insured and, therefore, counsel only owes a duty to the insured. True, some courts have mentioned other rationales, such as that professional ethics rules will keep counsel honest and that insureds have other remedies against unethical counsel. But the main rationale is still that there is no conflict: The sole client is the insured, not the insurer. Nevada, in contrast, is a dual-representation state: Insurer-appointed counsel represents both the insurer and the insured.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“Jurisdictions are divided on whether a reservation of rights creates a per se conflict of interest. Some jurisdictions apply a per se rule that a reservation of rights creates a conflict of interest between the insured and insurer-appointed counsel. Courts in these jurisdictions have reasoned that, if an insurer could control the case under a reservation of rights, it could insist on full litigation. The insurer would thereby expose the insured to the risk of personal liability and then seek to deny coverage if the verdict is unfavorable to the insured. Courts see it as unfair to give insurers an opportunity for a second bite of the apple. Other jurisdictions look to the facts of the case to determine whether there is an actual conflict. Courts in these jurisdictions stress that the point of the </w:t>
      </w:r>
      <w:r>
        <w:rPr>
          <w:rFonts w:ascii="Times New Roman" w:hAnsi="Times New Roman" w:cs="Times New Roman"/>
          <w:i/>
        </w:rPr>
        <w:t>Cumis</w:t>
      </w:r>
      <w:r>
        <w:rPr>
          <w:rFonts w:ascii="Times New Roman" w:hAnsi="Times New Roman" w:cs="Times New Roman"/>
        </w:rPr>
        <w:t xml:space="preserve"> rule is to enforce conflict-of-interest rules, so the focus should be on whether there is actually a conflict. Courts must therefore consider whether a conflict of interest exists and not simply look for a reservation of rights.” (</w:t>
      </w:r>
      <w:r>
        <w:rPr>
          <w:rFonts w:ascii="Times New Roman" w:hAnsi="Times New Roman" w:cs="Times New Roman"/>
          <w:i/>
        </w:rPr>
        <w:t>State Farm Mut. Auto. Ins. Co. v. Hansen</w:t>
      </w:r>
      <w:r>
        <w:rPr>
          <w:rFonts w:ascii="Times New Roman" w:hAnsi="Times New Roman" w:cs="Times New Roman"/>
        </w:rPr>
        <w:t>, 131 Nev. Adv. Op. 74 (2015)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New Hampshire</w:t>
      </w:r>
      <w:r>
        <w:rPr>
          <w:rFonts w:ascii="Times New Roman" w:hAnsi="Times New Roman" w:cs="Times New Roman"/>
        </w:rPr>
        <w:t xml:space="preserve"> “per se” but in search of an articulate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“We find that the damages awarded by the trial court for attorney’s fees incurred in the defense of the underlying claim - were appropriate.” (</w:t>
      </w:r>
      <w:r>
        <w:rPr>
          <w:rFonts w:ascii="Times New Roman" w:hAnsi="Times New Roman" w:cs="Times New Roman"/>
          <w:i/>
        </w:rPr>
        <w:t>A.B.C. Builders, Inc. v. American Mut. Ins. Co.</w:t>
      </w:r>
      <w:r>
        <w:rPr>
          <w:rFonts w:ascii="Times New Roman" w:hAnsi="Times New Roman" w:cs="Times New Roman"/>
        </w:rPr>
        <w:t>, 139 N.H. 745, 751 (1995) (ellipsis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New Jersey</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“We envision possible conflicts in this defense because coverage may not exist if liability is fixed on some other predicate. Therefore, in the first instance the insured should select their own counsel, subject to the carrier’s approval. In the event such approval is not forthcoming the selection should be made by the assignment judge. Reasonable counsel fees and costs of defense are to be paid by [the insurer]. [The insurer] asserts that it should have no responsibility for counsel fees in that matter because it never declined coverage, but in fact retained counsel to defend him, albeit under a reservation of rights. While the argument may be facially correct, it overlooks the clear conflict of interest that infected the counsel selected by [the insurer] to defend [the policyholder]. Faced with conflicting assertions for which [the insurer] would afford no coverage, and [others] for which [the insurer] would afford coverage, [dependent counsel] could not proceed with undivided loyalty to defend.” (</w:t>
      </w:r>
      <w:r>
        <w:rPr>
          <w:rFonts w:ascii="Times New Roman" w:hAnsi="Times New Roman" w:cs="Times New Roman"/>
          <w:i/>
        </w:rPr>
        <w:t>Aquino v. State Farm Ins. Co.</w:t>
      </w:r>
      <w:r>
        <w:rPr>
          <w:rFonts w:ascii="Times New Roman" w:hAnsi="Times New Roman" w:cs="Times New Roman"/>
        </w:rPr>
        <w:t>, 349 N.J. Super. 402, 415-16, 793 A.2d 824, 828-30 (2002)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New Mexico</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“It is generally recognized that coverage defenses may be properly preserved by a reservation of rights agreement. [The insurer] was not relieved of its duty to defend [the policyholder] merely because conflicts of interest appeared. [T]here are several methods of resolving the conflict. [A] conflict could be resolved by insisting that the insured hire independent counsel, or [the insurer] could hire two sets of attorneys, one to represent the insured and the other [the insurer].” (</w:t>
      </w:r>
      <w:r>
        <w:rPr>
          <w:rFonts w:ascii="Times New Roman" w:hAnsi="Times New Roman" w:cs="Times New Roman"/>
          <w:i/>
        </w:rPr>
        <w:t>American Employers Ins. Co. v. Crawford</w:t>
      </w:r>
      <w:r>
        <w:rPr>
          <w:rFonts w:ascii="Times New Roman" w:hAnsi="Times New Roman" w:cs="Times New Roman"/>
        </w:rPr>
        <w:t>, 87 N.M. 375, 533 P.2d 1203, 1208 (1975)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New York</w:t>
      </w:r>
      <w:r>
        <w:rPr>
          <w:rFonts w:ascii="Times New Roman" w:hAnsi="Times New Roman" w:cs="Times New Roman"/>
        </w:rPr>
        <w:t xml:space="preserve"> Restatement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insurance carrier is obligated immediately to pay or provide for the defense of the pending [liability] actions and to reimburse the assureds for what the defense has cost them to date. . . . If any . . . conflict of interest arises, as it probably will, the selection of the attorneys to represent the assureds should be made by them rather than by the insurance company, which should remain liable for the payment of the reasonable value of the services of whatever attorneys the assureds select.” (</w:t>
      </w:r>
      <w:r>
        <w:rPr>
          <w:rFonts w:ascii="Times New Roman" w:hAnsi="Times New Roman" w:cs="Times New Roman"/>
          <w:i/>
        </w:rPr>
        <w:t>Prashker v. United States Guar. Co.</w:t>
      </w:r>
      <w:r>
        <w:rPr>
          <w:rFonts w:ascii="Times New Roman" w:hAnsi="Times New Roman" w:cs="Times New Roman"/>
        </w:rPr>
        <w:t xml:space="preserve"> 1 N.Y.2d 584, 593 (1956).)</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“[I]nasmuch as the insurer’s interest in defending the lawsuit is in conflict with the defendant’s interest - the insurer being liable only upon some of the grounds for recovery asserted and not upon others - [the policyholder] is entitled to defense by an attorney of his own choosing, whose reasonable fee is to be paid by the insurer. ¶ That is not to say that a conflict of interest requiring retention of separate counsel will arise in every case where multiple claims are made. Independent counsel is only necessary in cases where the defense attorney’s duty to the insured would require that he defeat liability on any ground and his duty to the insurer would require that he defeat liability only upon grounds which would render the insurer liable. When such a conflict is apparent, the insured must be free to choose his own counsel whose reasonable fee is to be paid by the insurer. On the other hand, where multiple claims present no conflict . . . no threat of divided loyalty is present and there is no need for the retention of separate counsel. This is so because in such a situation the question of insurance coverage is not intertwined with the question of the insured’s liability.” (</w:t>
      </w:r>
      <w:r>
        <w:rPr>
          <w:rFonts w:ascii="Times New Roman" w:hAnsi="Times New Roman" w:cs="Times New Roman"/>
          <w:i/>
        </w:rPr>
        <w:t>Pub. Serv. Mut. Ins. Co. v. Goldfarb</w:t>
      </w:r>
      <w:r>
        <w:rPr>
          <w:rFonts w:ascii="Times New Roman" w:hAnsi="Times New Roman" w:cs="Times New Roman"/>
        </w:rPr>
        <w:t>, 425 N.E.2d 810, 53 N.Y.2d 392, 401 (1981).)</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“It is also well-established [under New York law] that when the insurer and the insured have a potential conflict of interest, the duty to defend includes a duty to provide independent defense counsel to the insured, whose reasonable fee is to be paid by the insurer but who is to be appointed by the insured. It is important to recognize that independent counsel is not necessary in all cases where multiple claims are made. It is only necessary where the ‘question of insurance coverage is intertwined with the question of the insured’s liability. Such a case arises when the defense attorney’s duty to the insured would require that he defeat liability on any ground and his duty to the insurer would require that he defeat liability only upon grounds which would render the insurer liable.” (</w:t>
      </w:r>
      <w:r>
        <w:rPr>
          <w:rFonts w:ascii="Times New Roman" w:hAnsi="Times New Roman" w:cs="Times New Roman"/>
          <w:i/>
        </w:rPr>
        <w:t>Golotrade Shipping &amp; Chartering, Inc. v. Travelers Indem. Co.,</w:t>
      </w:r>
      <w:r>
        <w:rPr>
          <w:rFonts w:ascii="Times New Roman" w:hAnsi="Times New Roman" w:cs="Times New Roman"/>
        </w:rPr>
        <w:t xml:space="preserve"> 706 F.Supp. 214, 219 (S.D.N.Y. 1989)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“An insurer is obligated to defend the insured against lawsuits where the insurer would be liable only upon some of the grounds for recovery. However, because the insurer’s interest in defending the lawsuit may be in conflict with the insured, the insured is entitled to defense by an attorney of his or her own choosing, whose reasonable fee is to be paid by the insurer. We agree with the Supreme Court that the insurer’s obligation to reimburse its insured for reasonable counsel fees is a substantial right under the policy. At bar, there is no evidence establishing that the plaintiff was ever aware that his attorneys had agreed to place a cap on fees expended in his defense. Nor has the defendant submitted proof that the plaintiff’s attorneys were empowered to bind the plaintiff to such an agreement. Moreover, the defendant’s conclusory assertions that such authority nevertheless existed, or that the plaintiff knew of, and somehow ratified the agreement, neither entitle the defendant to judgment as a matter of law nor create triable issues of fact precluding the granting of judgment to the plaintiff.” (</w:t>
      </w:r>
      <w:r>
        <w:rPr>
          <w:rFonts w:ascii="Times New Roman" w:hAnsi="Times New Roman" w:cs="Times New Roman"/>
          <w:i/>
        </w:rPr>
        <w:t>Bryan v. State-Wide Ins. Co.,</w:t>
      </w:r>
      <w:r>
        <w:rPr>
          <w:rFonts w:ascii="Times New Roman" w:hAnsi="Times New Roman" w:cs="Times New Roman"/>
        </w:rPr>
        <w:t xml:space="preserve"> 144 A.D.2d 325, 327, 533 N.Y.S.2d 951 (1988)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“It is not inherently objectionable to permit an insurer to participate in the selection of independent counsel for the insured as long as the insurer discharges its obligation in good faith and the attorney chosen is truly independent and otherwise capable of defending the insured. The decisions that appear to indicate that the insured has the absolute right to choose counsel where a conflict exists. The contract here provided that [the insurer] was not obligated to pay for [the policyholder]’s counsel unless it consented to the choice of counsel. The terms of the contract govern unless they are against public policy. The participation of an insurer in the selection process does not automatically taint the independence of chosen counsel. Therefore, this provision is not contrary to public policy. It was not unreasonable for [the insurer] to insist on counsel independent of both itself and [the policyholder].” (</w:t>
      </w:r>
      <w:r>
        <w:rPr>
          <w:rFonts w:ascii="Times New Roman" w:hAnsi="Times New Roman" w:cs="Times New Roman"/>
          <w:i/>
        </w:rPr>
        <w:t>New York State Urban Development Corp. v. VSL Corp.,</w:t>
      </w:r>
      <w:r>
        <w:rPr>
          <w:rFonts w:ascii="Times New Roman" w:hAnsi="Times New Roman" w:cs="Times New Roman"/>
        </w:rPr>
        <w:t xml:space="preserve"> 738 F.2d 61, 65-66 (2nd Cir. 1984) (N.Y. law)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North Carolina</w:t>
      </w:r>
      <w:r>
        <w:rPr>
          <w:rFonts w:ascii="Times New Roman" w:hAnsi="Times New Roman" w:cs="Times New Roman"/>
        </w:rPr>
        <w:t xml:space="preserve"> “per se” but in search of an articulate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“Just as an insured is not required to accept a defense conditioned upon entering into a non-waiver agreement, he is not required to accept a defense rendered under a reservation of rights. [The policyholder] was entitled to reject the conditional offer by the [insurer] to defend and still seek indemnity for the costs of defending that action.” (</w:t>
      </w:r>
      <w:r>
        <w:rPr>
          <w:rFonts w:ascii="Times New Roman" w:hAnsi="Times New Roman" w:cs="Times New Roman"/>
          <w:i/>
        </w:rPr>
        <w:t xml:space="preserve">National Mortg. Corp. v. American Title Ins. Co. </w:t>
      </w:r>
      <w:r>
        <w:rPr>
          <w:rFonts w:ascii="Times New Roman" w:hAnsi="Times New Roman" w:cs="Times New Roman"/>
        </w:rPr>
        <w:t>41 N.C. App. 613, 622-23, 255 S.E.2d 622, 629-30 (1979)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North Dakota</w:t>
      </w:r>
      <w:r>
        <w:rPr>
          <w:rFonts w:ascii="Times New Roman" w:hAnsi="Times New Roman" w:cs="Times New Roman"/>
        </w:rPr>
        <w:t xml:space="preserve"> “per se” but in search of an articulate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“Interestingly, in any situation where the insurance company is permitted to undertake a dual representation the most favorable result for the company would preclude the insurance company’s liability. To contend for this most favorable result, however, makes for a conflict of interest between the insurance company and both the insured and the [injured plaintiff]. The court [does] not believe that an insurance company should be permitted to voluntarily place itself in a position under an ancillary policy provision where it cannot ethically fulfill its basic contractual obligation to defend its insured.” (</w:t>
      </w:r>
      <w:r>
        <w:rPr>
          <w:rFonts w:ascii="Times New Roman" w:hAnsi="Times New Roman" w:cs="Times New Roman"/>
          <w:i/>
        </w:rPr>
        <w:t>Fetch v. Quam</w:t>
      </w:r>
      <w:r>
        <w:rPr>
          <w:rFonts w:ascii="Times New Roman" w:hAnsi="Times New Roman" w:cs="Times New Roman"/>
        </w:rPr>
        <w:t>, 530 N.W.2d 337, 339 (N.D. 1995)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Ohio</w:t>
      </w:r>
      <w:r>
        <w:rPr>
          <w:rFonts w:ascii="Times New Roman" w:hAnsi="Times New Roman" w:cs="Times New Roman"/>
        </w:rPr>
        <w:t xml:space="preserve"> Restatement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 liability insurance company breaches its contract to defend by making to the insured such a claim of nonliability for indemnification as to render it impossible for such company, in making defense, to protect both its own interests and those of the insured. When there is such a breach of contract, accompanied by an invitation to insured to employ its own counsel to participate in the defense for its own protection, the insured, protesting against such action, may employ counsel with notice to the insurance company that it must bear the expense, and the company will be liable for reasonable attorney fees and proper expenses incurred in making defense. [A]n insurer in Ohio may proceed to defend the insured so long as the situation does not arise that the insurer’s defense of the insured and its defense of its own interests are mutually exclusive. In such a case, the insurer, still bound in its duty to defend the insured, would have to pay the cost of the insured’s private counsel.” (</w:t>
      </w:r>
      <w:r>
        <w:rPr>
          <w:rFonts w:ascii="Times New Roman" w:hAnsi="Times New Roman" w:cs="Times New Roman"/>
          <w:i/>
        </w:rPr>
        <w:t>Red Head Brass, Inc. v. Buckeye Union Ins. Co.</w:t>
      </w:r>
      <w:r>
        <w:rPr>
          <w:rFonts w:ascii="Times New Roman" w:hAnsi="Times New Roman" w:cs="Times New Roman"/>
        </w:rPr>
        <w:t xml:space="preserve">, 135 Ohio App.3d 616, 626, 735 N.E.2d 48, 55 (Ohio Ct. App. 1999) (citations, quotation marks, and ellipses omitted); see also, </w:t>
      </w:r>
      <w:r>
        <w:rPr>
          <w:rFonts w:ascii="Times New Roman" w:hAnsi="Times New Roman" w:cs="Times New Roman"/>
          <w:i/>
        </w:rPr>
        <w:t>Lusk v. Imperial Cas.&amp; Indem. Co.</w:t>
      </w:r>
      <w:r>
        <w:rPr>
          <w:rFonts w:ascii="Times New Roman" w:hAnsi="Times New Roman" w:cs="Times New Roman"/>
        </w:rPr>
        <w:t xml:space="preserve"> 78 Ohio App.3d 11, 19 (1992).)</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Oklahoma</w:t>
      </w:r>
      <w:r>
        <w:rPr>
          <w:rFonts w:ascii="Times New Roman" w:hAnsi="Times New Roman" w:cs="Times New Roman"/>
        </w:rPr>
        <w:t xml:space="preserve"> Restatement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parties fail to cite any Oklahoma authority on-point, and we find none. Some other jurisdictions have adopted a rule requiring, under a duty-to-defend clause of an insurance policy, an insurer to pay for independent counsel upon the filing of a complaint alleging covered and non-covered claims. However, other jurisdictions allow an insurer to fulfill its obligation to defend when a conflict of interest arises by refraining from activity which would show a greater concern for its monetary interest than for its insured’s financial risk or, in a case where damages claimed were in excess of coverage, by fully defending the insured regardless of the insured’s disagreement with the manner in which the case is defended. [N]ot every perceived or potential conflict of interest automatically gives rise to a duty on the part of the insurer to pay for the insured’s choice of independent counsel. Independent counsel is only necessary in cases where the defense attorney’s duty to the insured would require that he defeat liability on any ground and his duty to the insurer would require that he defeat liability only upon grounds that would render the insurer liable. Conversely, absent a threat of divided loyalty between the insured and insurer, no need for retention of independent counsel arises because the issue of coverage is then separate from the issue of liability. [The insurer] recognized prior to trial that a potentially detrimental conflict of interest existed. Thus, the need for [policyholder] to hire independent counsel arose when the possibility existed that [the insurer] might be faced with the prospect of defending [policyholder] under some but not all available defenses. [W]e hold [the insurer] - when faced with such a conflict of defense strategy - had a duty to pay reasonable fees for the independent representation of [policyholder] under the duty to defend clause of the insurance contract.” (</w:t>
      </w:r>
      <w:r>
        <w:rPr>
          <w:rFonts w:ascii="Times New Roman" w:hAnsi="Times New Roman" w:cs="Times New Roman"/>
          <w:i/>
        </w:rPr>
        <w:t>Nisson v. Am. Home Assur. Co.</w:t>
      </w:r>
      <w:r>
        <w:rPr>
          <w:rFonts w:ascii="Times New Roman" w:hAnsi="Times New Roman" w:cs="Times New Roman"/>
        </w:rPr>
        <w:t>, 917 P.2d 488, 490-91 (Okla. 1996)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Oregon</w:t>
      </w:r>
      <w:r>
        <w:rPr>
          <w:rFonts w:ascii="Times New Roman" w:hAnsi="Times New Roman" w:cs="Times New Roman"/>
        </w:rPr>
        <w:t xml:space="preserve"> “Enhanced Duties”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In </w:t>
      </w:r>
      <w:r>
        <w:rPr>
          <w:rFonts w:ascii="Times New Roman" w:hAnsi="Times New Roman" w:cs="Times New Roman"/>
          <w:i/>
        </w:rPr>
        <w:t>Ferguson v. Birmingham Fire Ins. Co.</w:t>
      </w:r>
      <w:r>
        <w:rPr>
          <w:rFonts w:ascii="Times New Roman" w:hAnsi="Times New Roman" w:cs="Times New Roman"/>
        </w:rPr>
        <w:t>, 460 P.2d 342, 348-49 (Or. 1969), Oregon rejected the majority per se rule and found that a policyholder who insists that a reserving insurer waive coverage defenses breaches the terms of the policy, but that the insurer is still liable for costs of defense if coverage is found.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“[While] the insurer may offer only a token defense or be less prone to effect a settlement [w]e think that this danger is minimal. [By the policyholder’s] insistence that the [the insurer] defend only if it waived the right to later litigate the question of coverage constituted an unreasonable condition imposed by [the policyholder] upon [the insurer] constituted a breach of the contract. However, we do not feel that this breach on the part of [the policyholder] should exonerate [the insurer] from liability if there is coverage. When [the policyholder] refused to permit [the insurer] to defend the action and at the same time reserve its right to raise the question of coverage, [the policyholder] was acting in accordance with the rule adopted by most, if not all, courts. Our rejection of that rule and our holding that [the policyholder] breached his contract when he relied upon that rule should not prejudice [the policyholder] to any greater extent than is necessary in this case. We hold, therefore, that if on remand the question of coverage is resolved in favor of [the policyholder], [the insurer] will be liable for the amount of the judgment in the [liability] actions and the costs of defense.” (</w:t>
      </w:r>
      <w:r>
        <w:rPr>
          <w:rFonts w:ascii="Times New Roman" w:hAnsi="Times New Roman" w:cs="Times New Roman"/>
          <w:i/>
        </w:rPr>
        <w:t>Id</w:t>
      </w:r>
      <w:r>
        <w:rPr>
          <w:rFonts w:ascii="Times New Roman" w:hAnsi="Times New Roman" w:cs="Times New Roman"/>
        </w:rPr>
        <w:t>. at 349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However, Oregon Revised Statute § 465.483 requires independent counsel for environmental claims.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Pennsylvania</w:t>
      </w:r>
      <w:r>
        <w:rPr>
          <w:rFonts w:ascii="Times New Roman" w:hAnsi="Times New Roman" w:cs="Times New Roman"/>
        </w:rPr>
        <w:t xml:space="preserve"> Restatement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question presented in this case is one of first impression. [W]hen an insurer tenders a defense subject to a reservation, the insured may choose either of two options. It may accept the defense. Alternatively, the insured may decline the insurer’s tender of a qualified defense and furnish its own defense through independent counsel retained at the insured’s expense. In this event, the insured retains full control of its defense. Should the insured select this path, and should coverage be found, the insured may recover from the insurer the insured’s defense costs and the costs of settlement, to the extent that these costs are deemed fair, reasonable, and non-collusive.” (</w:t>
      </w:r>
      <w:r>
        <w:rPr>
          <w:rFonts w:ascii="Times New Roman" w:hAnsi="Times New Roman" w:cs="Times New Roman"/>
          <w:i/>
        </w:rPr>
        <w:t>Babcock &amp; Wilcox Co. v. Am. Nuclear Insurers</w:t>
      </w:r>
      <w:r>
        <w:rPr>
          <w:rFonts w:ascii="Times New Roman" w:hAnsi="Times New Roman" w:cs="Times New Roman"/>
        </w:rPr>
        <w:t>, 76 A.3d 1, 11, 22 (Pa. Super. Ct. 2013) (citations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insurers] have breached their duty to defend by failing to provide conflict-free counsel and relinquish control of the defense. It is clear that in Pennsylvania, as in most other jurisdictions, if an insurance company breaches its duty to defend, it is liable to reimburse the [insured] the costs the latter incurred in conducting its own defense. An insurance company breaches its duty to defend when a conflict of interests arises between the insurer and its insured such that the company’s pursuit of its own best interests in the litigation is incompatible with the best interests of the [insured]. A conflict of interest between an insurer and its insured will not relieve insurer of its duty to provide a defense. Rather, courts have concluded that one appropriate resolution in this circumstance is for the insurer to obtain separate, independent counsel for each of its insureds, or to pay the costs incurred by an insured in hiring counsel. In support of its contention that it is entitled to remuneration for the procurement of conflict-free counsel. It is settled law that ‘where conflicts of interest between an insurer and its insured arise, such that a question as to the loyalty of the insurer’s counsel to that insured is raised, the insured is entitled to select its counsel, whose reasonable fee is to be paid by the insurer. Because of the conflict of interests between the insurer and its insured, American National is obligated to provide conflict-free counsel and relinquish control of the defense.” (</w:t>
      </w:r>
      <w:r>
        <w:rPr>
          <w:rFonts w:ascii="Times New Roman" w:hAnsi="Times New Roman" w:cs="Times New Roman"/>
          <w:i/>
        </w:rPr>
        <w:t>Rector v. Amer. Nat’l Fire Ins. Co.</w:t>
      </w:r>
      <w:r>
        <w:rPr>
          <w:rFonts w:ascii="Times New Roman" w:hAnsi="Times New Roman" w:cs="Times New Roman"/>
        </w:rPr>
        <w:t xml:space="preserve"> No. Civ.A. 00-2806 (E.D. Pa. 2002) (citations, ellipses, and quotation marks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“Plaintiff cites San Diego Navy Federal Credit Union v. Cumis Insurance Society, Inc. 162 Cal.App.3d 358, 208 Cal.Rptr. 494 (1984) for the premise that where a conflict arises between insurer and insured, the insurer is obligated under the policy to provide the insured with independent counsel at no expense to the insured. See also St. Paul Fire and Marine Co. v. Roach Bros. Co., 639 F.Supp. 134 (E.D.Pa.1986). Much to its credit St. Paul acknowledges the wisdom of this recent trend and does not gainsay it. However, St. Paul does contend that no conflict of interest exists in the present case. We agree.” (</w:t>
      </w:r>
      <w:r>
        <w:rPr>
          <w:rFonts w:ascii="Times New Roman" w:hAnsi="Times New Roman" w:cs="Times New Roman"/>
          <w:i/>
        </w:rPr>
        <w:t>Pennbank v. St. Paul Fire &amp; Marine Ins. Co.</w:t>
      </w:r>
      <w:r>
        <w:rPr>
          <w:rFonts w:ascii="Times New Roman" w:hAnsi="Times New Roman" w:cs="Times New Roman"/>
        </w:rPr>
        <w:t xml:space="preserve"> (1987) 669 F.Supp. 122, 126.)</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“It is clear that in Pennsylvania, as in most other jurisdictions, if an insurance company breaches its duty to defend, it is liable to reimburse the assured the costs the latter incurred in conducting its own defense.” </w:t>
      </w:r>
      <w:r>
        <w:rPr>
          <w:rFonts w:ascii="Times New Roman" w:hAnsi="Times New Roman" w:cs="Times New Roman"/>
          <w:i/>
        </w:rPr>
        <w:t>St. Paul Fire &amp; Marine v. Roach Bros</w:t>
      </w:r>
      <w:r>
        <w:rPr>
          <w:rFonts w:ascii="Times New Roman" w:hAnsi="Times New Roman" w:cs="Times New Roman"/>
        </w:rPr>
        <w:t>., 639 F. Supp. 134, 138-39 (E.D. Pa. 1986)</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Rhode Island</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“If, however, an insured, after having been apprised of the conflicting interests existing between him and his insurer, declines to be represented by the insurer’s attorney, we have a different situation. Concerned as we are that the public’s trust in the judicial processes be maintained, this court cannot stand idly by in such circumstances. We are as conscious of an insurer’s concern that it control the defense of any action brought against one of its insureds as we are of an insured’s expectations that his rights will be properly protected. [A]n insured has a legitimate right to refuse to accept the offer of a defense counsel appointed by the insurance company; and when an insured elects to exercise this prerogative, the insurer’s desire to control the defense must yield to its obligation to defend its policyholder. There is, therefore, a discernible need to discover a solution to this dilemma which will, at the same time, be mutually protective and satisfactory to the parties. Our search of the case law and scholarly works dealing with this particular problem plainly indicates to us that no unanimity exists as to any single answer. One novel solution to the problem posed [is] that where a conflict of interests has arisen between an insurer and its insured, the attorney to defend the insured in the tort suit should be selected by the insured and the reasonable value of the professional services rendered should be assumed by the insurer. While this suggestion seemingly would afford full protection to the insured’s interests, we note that insurers may well be reluctant to endorse it since they feel that their right to rely on a policy’s exclusionary clause may be jeopardized. Another possible solution to the problem under consideration would be to have the insured and the insurer represented by two different attorneys, each of whom is pledged to promote and protect the prime interests of the client he represents. In this way it appears that the deleterious conflict of interests imposed on an attorney who attempts the difficult task of representing both parties is also averted. Because the insurer has a legitimate interest in seeing that any recovery based on finding of negligence on the part of its insured is kept within reasonable bounds, and since the total expense of this defense is to be assumed by the insurer under its promise to defend, we believe that in each of the above two suggestions the engagement of an independent counsel to represent the insured should be approved by the insurer. Such approval, however, should not be unreasonably withheld. While an insurer may be dismayed in its having to pay the cost of two attorneys for one civil suit, we are cognizant that the necessity for this action stems from its failure to provide within any degree of clarity for this contingency when it placed the exclusionary clause in its insured’s contract. The insurer, being the draftsman, should have set forth its provisions in such clear and distinct language as would have avoided any doubt relative to the extent of its duty to defend. Under a well-established principle, the words of an insurance contract are construed against the insurer. Accordingly, the insurance company is bound by the terms of its own contract. We wish to make it plainly understood that the above two suggested procedures for avoiding the conflict of interests in cases similar to the one now before us, are not to be taken as the only avenues by which an attorney can act with due propriety in these cases. The decision as to which of these alternatives or as to any others which may be proposed in the future is of course to be made conjunctively by the insured, the insurer and the attorneys involved.” (</w:t>
      </w:r>
      <w:r>
        <w:rPr>
          <w:rFonts w:ascii="Times New Roman" w:hAnsi="Times New Roman" w:cs="Times New Roman"/>
          <w:i/>
        </w:rPr>
        <w:t>Employer’s Fire Ins. Co. v. Beals</w:t>
      </w:r>
      <w:r>
        <w:rPr>
          <w:rFonts w:ascii="Times New Roman" w:hAnsi="Times New Roman" w:cs="Times New Roman"/>
        </w:rPr>
        <w:t>, 103 R.I. 623, 240 A.2d 397, 403-04 (1968)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South Carolina</w:t>
      </w:r>
      <w:r>
        <w:rPr>
          <w:rFonts w:ascii="Times New Roman" w:hAnsi="Times New Roman" w:cs="Times New Roman"/>
        </w:rPr>
        <w:t xml:space="preserve"> Restatement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In </w:t>
      </w:r>
      <w:r>
        <w:rPr>
          <w:rFonts w:ascii="Times New Roman" w:hAnsi="Times New Roman" w:cs="Times New Roman"/>
          <w:i/>
        </w:rPr>
        <w:t>Harleysville Group Insurance v. Heritage Communities, Inc.</w:t>
      </w:r>
      <w:r>
        <w:rPr>
          <w:rFonts w:ascii="Times New Roman" w:hAnsi="Times New Roman" w:cs="Times New Roman"/>
        </w:rPr>
        <w:t xml:space="preserve"> 420 S.C. 321, 803 S.E.2d 288 (SC 2017), the court stated: “It is axiomatic that an insured must be provided sufficient information to understand the reasons the insurer believes the policy may not provide coverage. [G]eneric denials of coverage coupled with furnishing the insured with a verbatim recitation of all or most of the policy provisions (through a cut-and-paste method) is not sufficient.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 basic understanding of reservation of rights to contest coverage may be helpful. A unilateral reservation of rights is a notice given by the insurer that it will defend [the insured in the lawsuit] but reserves all rights it has based on noncoverage under the policy. A reservation of rights is a way for an insurer to avoid breaching its duty to defend and seek to suspend operation of the doctrines of waiver and estoppel prior to a determination of the insureds liability. Although a reservation of rights may protect an insurers interests, it also is intended to benefit the policyholder by alerting the policyholder to the potential that coverage may be inapplicable for a loss; that conflicts may exist as between the policyholder and the insurer; and, that the policyholder should take steps necessary to protect its potentially uninsured interests.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 reservation of rights letter must give fair notice to the insured that the insurer intends to assert defenses to coverage or to pursue a declaratory relief action at a later date. Moreover, because an insurer typically has the right to control the litigation and is in the best position to see to it that the damages are allocated, courts have found that where an insurer defends under a reservation of rights, an insurer has a duty to inform the insured of the need for an allocated verdict as to covered versus noncovered damages. [W]here an insurer reserves the right to control the defense, the insured is directly deprived of a voice or part in such negotiations and defense and noting that if an insurers interests conflict with those of its insured, the insurer is bound, under its contract of indemnity, and in good faith, to sacrifice its interests in favor of those of the [insured]). [W]hen an insurer notifies its insured that it accepts the defense of a claim under a reservation of rights that includes covered and noncovered claims, the insurer not only has a duty to defend the claim, but also to disclose to its insured the insureds interest in obtaining a written explanation of the award that identifies the claims or theories of recovery actually proved and the portions of the award attributable to each); id. (reasoning that the insurer is in a unique position to know the scope of coverage and exclusions in its policies and the duty to notify [the insured] is not onerous).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right to control the litigation carries with it certain duties, including the duty not to prejudice the insureds rights by failing to request special interrogatories or a special verdict in order to clarify coverage of damages. [I]f the burden of apportioning damages between covered and non-covered were to rest on the insured, who is not in control of the defense, the insurer could obtain for itself an escape from responsibility merely by failing to request a special verdict or special interrogatories. Therefore, by virtue of its duty to defend, an insurer gains the advantage of exclusive control over the litigation, and it would be unreasonable to permit the insurer to not disclose potential bases for denying coverage.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“If the insured does not know the grounds on which the insurer may contest coverage, the insured is placed at a disadvantage because it loses the opportunity to investigate and prepare a defense on its own. Indeed without knowledge of the bases upon which the insurer might dispute coverage, the insured has no reason to act to protect its rights because it is unaware that a conflict of interest exists between itself and the insurer. Thus, [t]he general rule precluding an insurer from raising new grounds contesting coverage in a subsequent action is justified in this context. Where the insurer fails to adequately reserve the right to contest coverage, the insurer may be precluded from doing so. [A]n insurer [may] not assert a defense of noncoverage based on its failure to effectively reserve the right to contest coverage. For a reservation of rights to be effective, the reservation must be unambiguous; if it is ambiguous, the purported reservation of rights must be construed strictly against the insurer and liberally in favor of the insured. [W]here an insurer undertakes and exclusively controls the defense of the insured under a reservation of rights, prior to undertaking the defense, the insurer must specify in detail any and all bases upon which it might contest coverage in the future since [g]rounds not identified in the reservation of rights may not be asserted later by the insurer. [T]he existence of a potential conflict of interest between insured and insurer is what requires the insured to set forth the bases upon which it might contend damages are not covered in a greater amount of detail than would otherwise be required. [W]hen an insurer controls the defense of the action against its insured, a high fiduciary duty [i]s owed by the insurer to the insured and observing a general notice of reservation of rights failing to refer specifically to the policy provision upon which the insurer wished to rely may be insufficient.” (</w:t>
      </w:r>
      <w:r>
        <w:rPr>
          <w:rFonts w:ascii="Times New Roman" w:hAnsi="Times New Roman" w:cs="Times New Roman"/>
          <w:i/>
        </w:rPr>
        <w:t>Id.,</w:t>
      </w:r>
      <w:r>
        <w:rPr>
          <w:rFonts w:ascii="Times New Roman" w:hAnsi="Times New Roman" w:cs="Times New Roman"/>
        </w:rPr>
        <w:t xml:space="preserve"> 420 S.C. 321, 338-340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In </w:t>
      </w:r>
      <w:r>
        <w:rPr>
          <w:rFonts w:ascii="Times New Roman" w:hAnsi="Times New Roman" w:cs="Times New Roman"/>
          <w:i/>
        </w:rPr>
        <w:t xml:space="preserve">Twin City Fire Ins. Co. v. Ben Arnold-Sunbelt Beverage Co. of S.C., LP, </w:t>
      </w:r>
      <w:r>
        <w:rPr>
          <w:rFonts w:ascii="Times New Roman" w:hAnsi="Times New Roman" w:cs="Times New Roman"/>
        </w:rPr>
        <w:t>336 F. Supp.2d 610 (D.S.C., 2004), a federal court interpreting South Carolina law rejected the majority per se rule in the absence of proof that dependent counsel conducted a conflicts analysis that concluded that he or she had a disqualifying conflict of interest.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“[B]ecause [the insurers] reserved their rights as it related to indemnification coverage, a conflict of interest was created whereby [the policyholders] were entitled to retain counsel of their choosing with the reasonable fees for said counsel to be paid by [the insurers]. This court is reluctant to predict that South Carolina would adopt a disqualification rule that appears to be premised upon the supposition that attorneys employed by insurance carriers will always behave unethically. In other words, the argument for the per se disqualification rule is based upon the assumption that attorneys employed by insurance carriers will seek to direct the course of litigation in a manner so as to achieve success on the claims that are covered under the policy, giving scant attention to the non-covered claims. This court declines to formulate a rule of law based upon the notion that attorneys will violate ethical obligations when employed by insurance companies. It is well-settled that an insurer’s obligation to provide independent counsel is not based on insurance law; rather, it is based on a lawyer’s duty of loyalty which prohibits him or her from representing conflicting interests. A pertinent provision of the South Carolina Rules of Professional Conduct governs a lawyer’s ethical obligation when paid by an insurance company to represent an insured: Members of the South Carolina bar are charged with the responsibility of properly determining whether an actual or potential conflict exists and, if so, whether withdrawal from the representation is required. Any conflict of interest determination in this case should have been made by [dependent counsel], not [the policyholder]. Nowhere has it been suggested that [dependent counsel] determined a conflict of interest arose that disqualified him from representing [the policyholder]. In fact, [the policyholder] never allowed [dependent counsel] to participate, so no conflict analysis was ever rendered by the lawyer who had the duty to make the call.” (</w:t>
      </w:r>
      <w:r>
        <w:rPr>
          <w:rFonts w:ascii="Times New Roman" w:hAnsi="Times New Roman" w:cs="Times New Roman"/>
          <w:i/>
        </w:rPr>
        <w:t>Id</w:t>
      </w:r>
      <w:r>
        <w:rPr>
          <w:rFonts w:ascii="Times New Roman" w:hAnsi="Times New Roman" w:cs="Times New Roman"/>
        </w:rPr>
        <w:t xml:space="preserve">. at 615-16 (citations, quotation marks, and ellipses omitted).)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South Dakota</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insurer] defended [the policyholder] under a reservation of rights. A reservation of rights is a notice to the insured that the insurer will defend the insured but that the insurer is not waiving any defenses it may have under the policy. By this method, insurers can provide the insured a defense to liability and reserve for later the question whether the policy provides coverage. As in most jurisdictions, acting under a reservation of rights is an established procedure in South Dakota. An insurer is not estopped notwithstanding participation in defense of an action against insured to assert noncoverage if timely notice was given to the insured that it has not waived benefit of its defense under the policy. (</w:t>
      </w:r>
      <w:r>
        <w:rPr>
          <w:rFonts w:ascii="Times New Roman" w:hAnsi="Times New Roman" w:cs="Times New Roman"/>
          <w:i/>
        </w:rPr>
        <w:t xml:space="preserve">St. Paul Fire and Marine Ins. Co. v. Engelmann, </w:t>
      </w:r>
      <w:r>
        <w:rPr>
          <w:rFonts w:ascii="Times New Roman" w:hAnsi="Times New Roman" w:cs="Times New Roman"/>
        </w:rPr>
        <w:t>639 N.W.2d 192, 201 (S.D. 2002)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Tennessee</w:t>
      </w:r>
      <w:r>
        <w:rPr>
          <w:rFonts w:ascii="Times New Roman" w:hAnsi="Times New Roman" w:cs="Times New Roman"/>
        </w:rPr>
        <w:t xml:space="preserve"> Restatement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“[A]n insurer in Tennessee clearly possesses no right to control the methods or means chosen by an attorney to defend the insured. [T]he insurer cannot control the details of the attorney’s performance, dictate the strategy or tactics employed, or limit the attorney’s professional discretion with regard to the representation. [A]ny policy, arrangement or device which effectively limits, by design or operation, the attorney’s professional judgment on behalf of or loyalty to the client is prohibited by the Code, and, undoubtedly, would not be consistent with public policy. [W]e simply cannot ignore the practical reality that the insurer may seek to exercise </w:t>
      </w:r>
      <w:r>
        <w:rPr>
          <w:rFonts w:ascii="Times New Roman" w:hAnsi="Times New Roman" w:cs="Times New Roman"/>
          <w:i/>
        </w:rPr>
        <w:t>actual</w:t>
      </w:r>
      <w:r>
        <w:rPr>
          <w:rFonts w:ascii="Times New Roman" w:hAnsi="Times New Roman" w:cs="Times New Roman"/>
        </w:rPr>
        <w:t xml:space="preserve"> control over its retained attorneys in this context. While this practical reality raises significant potential for conflicts of interest, it does not become invidious until the attempted control seeks, either directly or indirectly, to affect the attorney’s independent professional judgment, to interfere with the attorney’s unqualified duty of loyalty to the insured, or to present a reasonable possibility of advancing an interest that would differ from that of the insured. To be clear, our recognition of the control exercised by insurers in this context does not condone this practice, especially when it works to favor the interests of the insurer over that of the insured; rather, we acknowledge this aspect of the relationship only because it would be imprudent for this Court to hold that attorneys are independent contractors vis-à-vis insurers, but then to ignore the practical realities of that relationship when it causes injury. Accordingly, we hold that an insurer can be held vicariously liable for the acts or omissions of an attorney hired to represent an insured when those acts or omissions were directed, commanded, or knowingly authorized by the insurer. [N]o doubt can exist that the insured is the sole client of an attorney hired by an insurer pursuant to its contractual duty to defend, and in the typical attorney-client relationship, the client maintains a significant right to control the objectives of the representation. [T]he client retains exclusive authority to direct all areas of the representation that affect the merits of the cause or substantially prejudice his or her rights.” (</w:t>
      </w:r>
      <w:r>
        <w:rPr>
          <w:rFonts w:ascii="Times New Roman" w:hAnsi="Times New Roman" w:cs="Times New Roman"/>
          <w:i/>
        </w:rPr>
        <w:t>Givens v. Mullikin ex rel. Estate of McElwaney</w:t>
      </w:r>
      <w:r>
        <w:rPr>
          <w:rFonts w:ascii="Times New Roman" w:hAnsi="Times New Roman" w:cs="Times New Roman"/>
        </w:rPr>
        <w:t>, 75 S.W.3d 383, 394-97 (Tenn. 2002)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[insurer] cannot control the details of the attorney’s performance, dictate the strategy or tactics employed, or limit the attorney’s professional discretion with regard to the representation. Any policy, arrangement or device which effectively limits, by design or operation, the attorney’s professional judgment on behalf of or loyalty to the client is prohibited by the Code, and, undoubtedly, would not be consistent with public policy. ¶ . . . [S]everal specific situations which may give rise to conflicts of interest and, therefore, require special care in providing for the insured’s defense. They include situations where a defense is afforded under a reservation of rights, where there is a defense of alternative claims, one with coverage and the other with no coverage, where there is a defense of claims for damages in excess of the policy limits, and where the defense involves multiple insureds.” (</w:t>
      </w:r>
      <w:r>
        <w:rPr>
          <w:rFonts w:ascii="Times New Roman" w:hAnsi="Times New Roman" w:cs="Times New Roman"/>
          <w:i/>
        </w:rPr>
        <w:t>In re Youngblood</w:t>
      </w:r>
      <w:r>
        <w:rPr>
          <w:rFonts w:ascii="Times New Roman" w:hAnsi="Times New Roman" w:cs="Times New Roman"/>
        </w:rPr>
        <w:t>, 895 S.W.2d 322, 328 (Tenn. 1995).)</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Territories Under Federal Jurisdiction</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b/>
        <w:t>Virgin Islands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insurer] chose to defend only by providing the insured with independent counsel, reserving the right to contest coverage. By this action it renounced control of the litigation and thereby thrust the responsibility for the litigation wholly upon the insured and its counsel. [The policyholder] had to proceed as best it could with its own defense, although assisted and advised by counsel. [The insurer] cannot now complain that [the policyholder] breached its obligations under the policy. We therefore hold that when a complaint, or a part of it, in an action against an insured is arguably within the scope of the insurance coverage, an insurer’s discharge of its duty to defend by providing independent counsel, even though reserving the right to contest coverage, relieves it of control over the litigation.” (</w:t>
      </w:r>
      <w:r>
        <w:rPr>
          <w:rFonts w:ascii="Times New Roman" w:hAnsi="Times New Roman" w:cs="Times New Roman"/>
          <w:i/>
        </w:rPr>
        <w:t>Cay Divers, Inc. v. Raven,</w:t>
      </w:r>
      <w:r>
        <w:rPr>
          <w:rFonts w:ascii="Times New Roman" w:hAnsi="Times New Roman" w:cs="Times New Roman"/>
        </w:rPr>
        <w:t xml:space="preserve"> 812 F.2d 866, 870 (3rd Cir. 1987) (Virgin Islands law)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Texas</w:t>
      </w:r>
      <w:r>
        <w:rPr>
          <w:rFonts w:ascii="Times New Roman" w:hAnsi="Times New Roman" w:cs="Times New Roman"/>
        </w:rPr>
        <w:t xml:space="preserve"> Restatement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“[W]hen an insurer makes a reservation of rights which creates a potential conflict of interest. Such reservations create an actual conflict of interest when the facts to be adjudicated in the liability lawsuit are the same facts upon which coverage depends. A conflict of interest does not arise unless the outcome of the coverage issue can be controlled by counsel retained by the insurer for the defense of the underlying claim. In other words, if the attorney appointed by the insurance company would have an incentive to act for the insurance company’s interest rather than the insured’s interest, and therefore deprive the insured of its right to independent counsel, a conflict of interest exists triggering the insured’s right to select counsel. This rule allows insurers to control costs while permitting insureds to protect themselves from an insurer-hired attorney who may be tempted to develop facts or legal strategy that could ultimately support the insurer’s position that the underlying lawsuit fits within a policy exclusion. When a conflict of interest exists, the insurer may not insist upon its contractual right to control the defense. But every disagreement between the insurance company and the client about how the defense should be conducted cannot amount to a conflict of interest.” (</w:t>
      </w:r>
      <w:r>
        <w:rPr>
          <w:rFonts w:ascii="Times New Roman" w:hAnsi="Times New Roman" w:cs="Times New Roman"/>
          <w:i/>
        </w:rPr>
        <w:t>Coats, Rose, Yale, Ryman &amp; Lee, P.C., v. Navigators Specialty Ins. Co.</w:t>
      </w:r>
      <w:r>
        <w:rPr>
          <w:rFonts w:ascii="Times New Roman" w:hAnsi="Times New Roman" w:cs="Times New Roman"/>
        </w:rPr>
        <w:t>, 830 F. Supp.2d 216, 219 (N.D. Tex. 2011).)</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“[A]n insurer’s right of control generally includes the authority to make defense decisions as if it were the client where no conflict of interest exists. Ordinarily, the existence or scope of coverage is the basis for a disqualifying conflict. In the typical coverage dispute, an insurer will issue a reservation of rights letter, which creates a potential conflict of interest. [W]hen the facts to be adjudicated in the liability lawsuit are the same facts upon which coverage depends, the conflict of interest will prevent the insurer from conducting the defense. On the other hand, when the disagreement concerns coverage but the insurer defends unconditionally, there is, because of the application of estoppel principles, no potential for a conflict of interest between the insured and the insurer. Other types of conflicts may also justify an insured’s refusal of an offered defense. One authority lists four separate circumstances in which the insured may rightfully refuse to accept the insurer’s defense: (1) when the defense tendered is not a complete defense under circumstances in which it should have been, (2) when the attorney hired by the carrier acts unethically and, at the insurer’s direction, advances the insurer’s interests at the expense of the insured’s, (3) when the defense would not, under the governing law, satisfy the insurer’s duty to defend, and (4) when, though the defense is otherwise proper, the insurer attempts to obtain some type of concession from the insured before it will defend. Thus, the insured may rightfully refuse an inadequate defense and may also refuse any defense conditioned on an unreasonable, extra-contractual demand that threatens the insured’s independent legal rights. That lawyer owes unqualified loyalty to the insured, [and] must at all times protect the interests of the insured if those interests would be compromised by the insurer’s instructions. The choice of venue should ordinarily have no impact on the insured’s legitimate interests under the policy. [H]aving rejected the insurer’s defense without a sufficient conflict, [the policyholder] lost his right to recover the costs of that defense. Because [the insurer]’s offer to defend [the policyholder] satisfied its obligation under the policy, [the insurer] did not breach its duty to defend.” (</w:t>
      </w:r>
      <w:r>
        <w:rPr>
          <w:rFonts w:ascii="Times New Roman" w:hAnsi="Times New Roman" w:cs="Times New Roman"/>
          <w:i/>
        </w:rPr>
        <w:t>Northern County Mut. Ins. Co. v. Davalos</w:t>
      </w:r>
      <w:r>
        <w:rPr>
          <w:rFonts w:ascii="Times New Roman" w:hAnsi="Times New Roman" w:cs="Times New Roman"/>
        </w:rPr>
        <w:t>, 140 S.W.3d 685, 688-90 (Tex. 2004).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“When the alleged cause of action is neither clearly without nor clearly within coverage, the insurer is obligated to defend if there is, potentially, a cause under the complaint within the coverage of the policy. If there is doubt as to whether the complaint states a covered cause of action, doubt will be resolved in insured’s favor. It is well settled that once an insurer has breached its duty to defend, the insured is free to proceed as he sees fit; he may engage his own counsel and either settle or litigate, at his option. [A] consequence of a breach of the duty to defend is the inability to enforce against the insured any conditions in the policy; the insured is no longer constrained by no action or no voluntary assumption of liability clauses. The insurer may be liable for attorneys’ fees incurred by the insured in order to defend the suit.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 reservation of rights is a proper action if the insurer believes, in good faith, that the complaint alleges conduct which may not be covered by the policy. In such a situation, reservation of rights will not be a breach of the duty to defend, but notice of intent to reserve rights must be sufficient to inform the insured of the insurer’s position and must be timely. When a reservation of rights is made, however, the insured may properly refuse the tender of defense and pursue his own defense. The insurer remains liable for attorneys’ fees incurred by the insured and may not insist on conducting the defense. Refusal of the tender of defense is particularly appropriate where, the insurer’s interests conflict with those of the insured. When the insurer is denying coverage and where coverage will depend upon the finding of the trier of facts as to certain issues in the main case, the insurer is not in a position to defend the insured.” (</w:t>
      </w:r>
      <w:r>
        <w:rPr>
          <w:rFonts w:ascii="Times New Roman" w:hAnsi="Times New Roman" w:cs="Times New Roman"/>
          <w:i/>
        </w:rPr>
        <w:t>Rhodes v. Chicago Ins. Co.,</w:t>
      </w:r>
      <w:r>
        <w:rPr>
          <w:rFonts w:ascii="Times New Roman" w:hAnsi="Times New Roman" w:cs="Times New Roman"/>
        </w:rPr>
        <w:t xml:space="preserve"> 719 F.2d 116, 119-21 (5th Cir. 1983) (Texas law).)</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 disqualifying conflict of interest exists where the facts to be adjudicated in the liability lawsuit are the same facts upon which coverage depends. The Texas Supreme Court has not offered further clarity on what is meant by Davalos’ ‘same facts’ requirement, or how the requirement is to be applied. Thus, the Court is tasked with interpreting the term and determining whether any fact upon which coverage depends also will be adjudicated in the Underlying Suit. In order for a disqualifying interest to exist, then, it must be apparent that facts upon which coverage depends will be ruled upon judicially in the Underlying Suit. It is not until the facts to be adjudicated in the liability lawsuit are the same facts upon which coverage depends’ that a potential conflict becomes a disqualifying one, entitling an insured to select independent counsel.” (</w:t>
      </w:r>
      <w:r>
        <w:rPr>
          <w:rFonts w:ascii="Times New Roman" w:hAnsi="Times New Roman" w:cs="Times New Roman"/>
          <w:i/>
        </w:rPr>
        <w:t>Partain v. Mid-Continent Spec. Ins. Serv.</w:t>
      </w:r>
      <w:r>
        <w:rPr>
          <w:rFonts w:ascii="Times New Roman" w:hAnsi="Times New Roman" w:cs="Times New Roman"/>
        </w:rPr>
        <w:t>, 838 F.Supp2d 547, 555 (S.D. Tex. 2012)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Utah</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injured plaintiff “was relying on three separate grounds for relief, two covered by the policy and one outside the scope of coverage. Common logic dictates that in such circumstances, counsel for [the insurer] would be inclined, albeit acting in good faith, to bend his efforts, however unconsciously, toward establishing that any recovery by [the injured plaintiff] would be grounded on the theory of [the injured plaintiff]’s claim which was not covered by the policy. Therein lay the conflict. [The insurer] was required to provide counsel free of the egregious conflict of interest present in this case, and that [the insurer] must now reimburse [the policyholder] for the fair and reasonable value of the services rendered by [the policyholder]’s independent counsel in defending the [liability action].” (</w:t>
      </w:r>
      <w:r>
        <w:rPr>
          <w:rFonts w:ascii="Times New Roman" w:hAnsi="Times New Roman" w:cs="Times New Roman"/>
          <w:i/>
        </w:rPr>
        <w:t>U.S. Fidelity &amp; Guaranty Co. v. Louis A. Rosen Co.,</w:t>
      </w:r>
      <w:r>
        <w:rPr>
          <w:rFonts w:ascii="Times New Roman" w:hAnsi="Times New Roman" w:cs="Times New Roman"/>
        </w:rPr>
        <w:t xml:space="preserve"> 585 F.2d 932, 938, 940-41 (8th Cir.1978) (Utah or Minn. law)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Vermont</w:t>
      </w:r>
      <w:r>
        <w:rPr>
          <w:rFonts w:ascii="Times New Roman" w:hAnsi="Times New Roman" w:cs="Times New Roman"/>
        </w:rPr>
        <w:t xml:space="preserve"> “per se”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“[W]e hold that [the policyholder] was entitled to recover attorney’s fees and costs incurred in prosecuting the appeal in the [liability] litigation. [fn.4.] [The insurer asserts] that the reservation-of-rights letter represented a separate and superseding agreement. Even if this were the case, the verdict in the [liability] litigation did not demonstrate that [the insurer] owed no duty to defend or indemnify, but precisely the opposite. Accordingly, the reservation-of-rights letter did not represent a basis for refusing to pay [the policyholder’s] defense costs on appeal.” (</w:t>
      </w:r>
      <w:r>
        <w:rPr>
          <w:rFonts w:ascii="Times New Roman" w:hAnsi="Times New Roman" w:cs="Times New Roman"/>
          <w:i/>
        </w:rPr>
        <w:t>Pharmacists Mut. Ins. Co. v. Myer</w:t>
      </w:r>
      <w:r>
        <w:rPr>
          <w:rFonts w:ascii="Times New Roman" w:hAnsi="Times New Roman" w:cs="Times New Roman"/>
        </w:rPr>
        <w:t xml:space="preserve">, 187 Vt. 323, 993 A.2d 413 (2010) (ellipses omitted).)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Virginia</w:t>
      </w:r>
      <w:r>
        <w:rPr>
          <w:rFonts w:ascii="Times New Roman" w:hAnsi="Times New Roman" w:cs="Times New Roman"/>
        </w:rPr>
        <w:t xml:space="preserve"> “per se” but in search of an articulate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“Clearly there was not an unconditional defending in the instant case in view of the reservation of rights letter to [the policyholder] by the company and its suggestion that he employ private counsel to represent him.” (</w:t>
      </w:r>
      <w:r>
        <w:rPr>
          <w:rFonts w:ascii="Times New Roman" w:hAnsi="Times New Roman" w:cs="Times New Roman"/>
          <w:i/>
        </w:rPr>
        <w:t>Norman v. Ins. Co. of North Amer.</w:t>
      </w:r>
      <w:r>
        <w:rPr>
          <w:rFonts w:ascii="Times New Roman" w:hAnsi="Times New Roman" w:cs="Times New Roman"/>
        </w:rPr>
        <w:t>, 218 Va. 718, 239 S.E.2d 902, 908 (1978).)</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Washington</w:t>
      </w:r>
      <w:r>
        <w:rPr>
          <w:rFonts w:ascii="Times New Roman" w:hAnsi="Times New Roman" w:cs="Times New Roman"/>
        </w:rPr>
        <w:t xml:space="preserve"> “Enhanced Duties”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In </w:t>
      </w:r>
      <w:r>
        <w:rPr>
          <w:rFonts w:ascii="Times New Roman" w:hAnsi="Times New Roman" w:cs="Times New Roman"/>
          <w:i/>
        </w:rPr>
        <w:t>Tank v. State Farm Fire &amp; Cas. Co.</w:t>
      </w:r>
      <w:r>
        <w:rPr>
          <w:rFonts w:ascii="Times New Roman" w:hAnsi="Times New Roman" w:cs="Times New Roman"/>
        </w:rPr>
        <w:t>, 105 Wash.2d 381, 715 P.2d 1133 (1986) (</w:t>
      </w:r>
      <w:r>
        <w:rPr>
          <w:rFonts w:ascii="Times New Roman" w:hAnsi="Times New Roman" w:cs="Times New Roman"/>
          <w:i/>
        </w:rPr>
        <w:t>Tank</w:t>
      </w:r>
      <w:r>
        <w:rPr>
          <w:rFonts w:ascii="Times New Roman" w:hAnsi="Times New Roman" w:cs="Times New Roman"/>
        </w:rPr>
        <w:t>), Washington created “enhanced obligations” on the part of dependent counsel and a reserving insurer.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[T]he duty of good faith of an insurer requires fair dealing and equal consideration for the insured’s interests. [T]he potential conflicts of interest between insurer and insured inherent in [a defense under a reservation of rights] mandate an even higher standard: an insurance company must fulfill an enhanced obligation to its insured as part of its duty of good faith. Failure to satisfy this enhanced obligation may result in liability of the company, or retained defense counsel, or both. This enhanced obligation is fulfilled by meeting specific criteria. First, the company must thoroughly investigate the cause of the insured’s accident and the nature and severity of the plaintiff’s injuries. Second, it must retain competent defense counsel for the insured. Both retained defense counsel and the insurer must understand that only the </w:t>
      </w:r>
      <w:r>
        <w:rPr>
          <w:rFonts w:ascii="Times New Roman" w:hAnsi="Times New Roman" w:cs="Times New Roman"/>
          <w:i/>
        </w:rPr>
        <w:t>insured</w:t>
      </w:r>
      <w:r>
        <w:rPr>
          <w:rFonts w:ascii="Times New Roman" w:hAnsi="Times New Roman" w:cs="Times New Roman"/>
        </w:rPr>
        <w:t xml:space="preserve"> is the client. Third, the company has the responsibility for fully informing the insured not only of the reservation of rights defense itself, but of </w:t>
      </w:r>
      <w:r>
        <w:rPr>
          <w:rFonts w:ascii="Times New Roman" w:hAnsi="Times New Roman" w:cs="Times New Roman"/>
          <w:i/>
        </w:rPr>
        <w:t>all</w:t>
      </w:r>
      <w:r>
        <w:rPr>
          <w:rFonts w:ascii="Times New Roman" w:hAnsi="Times New Roman" w:cs="Times New Roman"/>
        </w:rPr>
        <w:t xml:space="preserve"> developments relevant to his policy coverage and the progress of his lawsuit. Information regarding progress of the lawsuit includes disclosure of all settlement offers made by the company. Finally, an insurance company must refrain from engaging in any action which would demonstrate a greater concern for the insurer’s monetary interest than for the insured’s financial risk. In addition to the above specific criteria to be met by the company, defense counsel retained by insurers to defend insureds under a reservation of rights must meet distinct criteria as well. First, it is evident that such attorneys owe a duty of loyalty to their clients. [Rules of ethics] prohibits a lawyer, employed by a party to represent a third party, from allowing the employer to influence his or her professional judgment. In a reservation of rights defense, [one rule of ethics] demands that counsel understand that he or she represents only the </w:t>
      </w:r>
      <w:r>
        <w:rPr>
          <w:rFonts w:ascii="Times New Roman" w:hAnsi="Times New Roman" w:cs="Times New Roman"/>
          <w:i/>
        </w:rPr>
        <w:t>insured,</w:t>
      </w:r>
      <w:r>
        <w:rPr>
          <w:rFonts w:ascii="Times New Roman" w:hAnsi="Times New Roman" w:cs="Times New Roman"/>
        </w:rPr>
        <w:t xml:space="preserve"> not the company. [T]he standards of the legal profession require undeviating fidelity of the lawyer to his client. No exceptions can be tolerated. Second, defense counsel owes a duty of full and ongoing disclosure to the insured. This duty of disclosure has three aspects. First, potential conflicts of interest between insurer and insured must be fully disclosed and resolved in favor of the insured. [Rules of ethics] which address conflicts of interest such as this, must be strictly followed. Second, all information relevant to the insured’s defense, including a realistic and periodic assessment of the insured’s chances to win or lose the pending lawsuit, must be communicated to the insured. Finally, </w:t>
      </w:r>
      <w:r>
        <w:rPr>
          <w:rFonts w:ascii="Times New Roman" w:hAnsi="Times New Roman" w:cs="Times New Roman"/>
          <w:i/>
        </w:rPr>
        <w:t>all</w:t>
      </w:r>
      <w:r>
        <w:rPr>
          <w:rFonts w:ascii="Times New Roman" w:hAnsi="Times New Roman" w:cs="Times New Roman"/>
        </w:rPr>
        <w:t xml:space="preserve"> offers of settlement must be disclosed to the insured as those offers are presented. In a reservation of rights defense, it is the insured who may pay any judgment or settlement. Therefore, it is the insured who must make the ultimate choice regarding settlement. In order to make an informed decision in this regard, the insured must be fully apprised of all activity involving settlement, whether the settlement offers or rejections come from the injured party or the insurance company. [T]here is no evidence on the record to suggest that the company engaged in actions which demonstrated greater concern for its own interests than for the interests of its insured. [W]e may take into account only those materials upon which the trial court relied in making its ruling. Even assuming the existence of attorney misconduct, which we do not, we must disregard it. [T]he company must always give equal consideration in all matters to the well being of its insured. Good conscience and fair dealing [require] that the company pursue a course that [is] not advantageous to itself while disadvantageous to its policyholder.” (</w:t>
      </w:r>
      <w:r>
        <w:rPr>
          <w:rFonts w:ascii="Times New Roman" w:hAnsi="Times New Roman" w:cs="Times New Roman"/>
          <w:i/>
        </w:rPr>
        <w:t>Tank, supra</w:t>
      </w:r>
      <w:r>
        <w:rPr>
          <w:rFonts w:ascii="Times New Roman" w:hAnsi="Times New Roman" w:cs="Times New Roman"/>
        </w:rPr>
        <w:t>, 105 Wash.2d at 387-91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In a 5-4 split decision, </w:t>
      </w:r>
      <w:r>
        <w:rPr>
          <w:rFonts w:ascii="Times New Roman" w:hAnsi="Times New Roman" w:cs="Times New Roman"/>
          <w:i/>
        </w:rPr>
        <w:t>Arden v. Forsberg &amp; Umlauf</w:t>
      </w:r>
      <w:r>
        <w:rPr>
          <w:rFonts w:ascii="Times New Roman" w:hAnsi="Times New Roman" w:cs="Times New Roman"/>
        </w:rPr>
        <w:t xml:space="preserve"> 402 P.3d 245, 189 Wash.2d 315 (2017) held that summary judgment in favor of dependent counsel was proper because the policyholders failed to prove damages. However, the court found that dependent counsel violated Rule 1.7 by failing to disclose to the policyholder that they represented the reserving insurer is other concurrent coverage cases. The majority stated that dependent counsel “may still represent both clients if four conditions are met: the lawyer reasonably believes that it will be possible to represent both clients competently and diligently, the representation is not prohibited by law, the clients are not directly adverse to one another, and the clients give informed consent after adequate disclosure of the relationships. RPC 1.7(b)”, but that dependent counsel failed to do so.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West Virginia</w:t>
      </w:r>
      <w:r>
        <w:rPr>
          <w:rFonts w:ascii="Times New Roman" w:hAnsi="Times New Roman" w:cs="Times New Roman"/>
        </w:rPr>
        <w:t xml:space="preserve"> “Enhanced Duties” rule in search of an articulate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“Attorneys have long struggled with the contractual and ethical quandaries presented by the ‘tripartite’ relationship between defense attorney, insurance company, and insured. [T]he ‘ethical dilemma thus imposed upon the carrier-employed defense attorney’ by the relationship between insurer, client-insured, and insurance-company-paid defense attorney is one that ‘would tax Socrates.’</w:t>
      </w:r>
      <w:r>
        <w:rPr>
          <w:rFonts w:ascii="Times New Roman" w:hAnsi="Times New Roman" w:cs="Times New Roman"/>
          <w:i/>
        </w:rPr>
        <w:t xml:space="preserve"> </w:t>
      </w:r>
      <w:r>
        <w:rPr>
          <w:rFonts w:ascii="Times New Roman" w:hAnsi="Times New Roman" w:cs="Times New Roman"/>
        </w:rPr>
        <w:t>[A] defense attorney, employed to represent an insured in a liability matter is professionally obligated to represent only the interests of the client/insured, not the interests of the insurance company. [W]e concluded that a defense attorney represents only the insured, and not the insurer that is paying the defense attorney’s fee. While it has been argued that the attorney represents both the insurer and insured, we acknowledged that ‘[i]n reality, the insurer actually hires the attorney to represent the insured.’” (</w:t>
      </w:r>
      <w:r>
        <w:rPr>
          <w:rFonts w:ascii="Times New Roman" w:hAnsi="Times New Roman" w:cs="Times New Roman"/>
          <w:i/>
        </w:rPr>
        <w:t>Barefield v. DPIC Co.’s, Inc</w:t>
      </w:r>
      <w:r>
        <w:rPr>
          <w:rFonts w:ascii="Times New Roman" w:hAnsi="Times New Roman" w:cs="Times New Roman"/>
        </w:rPr>
        <w:t>., 215 W.Va. 544, 600 S.E.2d 256, 268 (2004).)</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Wisconsin</w:t>
      </w:r>
      <w:r>
        <w:rPr>
          <w:rFonts w:ascii="Times New Roman" w:hAnsi="Times New Roman" w:cs="Times New Roman"/>
        </w:rPr>
        <w:t xml:space="preserve"> “per se” but in search of an articulate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“An insurer may request a bifurcated trial on the issue of coverage and move to stay all proceedings on liability until a coverage determination is made. Under this approach, the insurance company runs no risk of breaching its duty to defend. An insurer may enter into a nonwaiver agreement in which the insurer would agree to defend, and the insured would acknowledge the right of the insurer to contest coverage. An insurer may also proceed under a reservation of rights under which the insured provides and controls its own defense, but the insurer remains liable for incurred legal costs.” (</w:t>
      </w:r>
      <w:r>
        <w:rPr>
          <w:rFonts w:ascii="Times New Roman" w:hAnsi="Times New Roman" w:cs="Times New Roman"/>
          <w:i/>
        </w:rPr>
        <w:t>Water Well Sols. Serv. Grp. Inc. v. Consolidated Ins</w:t>
      </w:r>
      <w:r>
        <w:rPr>
          <w:rFonts w:ascii="Times New Roman" w:hAnsi="Times New Roman" w:cs="Times New Roman"/>
        </w:rPr>
        <w:t xml:space="preserve">., 369 Wis. 2d 607, 881 N.W.2d 285, 296 (2016) (citations and quotation marks deleted omitted); see also, </w:t>
      </w:r>
      <w:r>
        <w:rPr>
          <w:rFonts w:ascii="Times New Roman" w:hAnsi="Times New Roman" w:cs="Times New Roman"/>
          <w:i/>
        </w:rPr>
        <w:t>Choinsky v. Germantown School Dist.</w:t>
      </w:r>
      <w:r>
        <w:rPr>
          <w:rFonts w:ascii="Times New Roman" w:hAnsi="Times New Roman" w:cs="Times New Roman"/>
        </w:rPr>
        <w:t xml:space="preserve"> 926 N.W.2d 196, 2019 WI App 12 (2019).)</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“An insurance company that disputes coverage, and thus the duty to defend, has several choices. The company may enter into a nonwaiver agreement with the insured wherein the insurer would agree to defend and the insured would acknowledge the right of the insurer to contest coverage. The company may seek to bifurcate the trial and obtain a declaratory judgment on coverage in advance of the determination of liability. The company may defend the insured under a reservation of rights, that is reserving its right not to pay a judgment if it is determined that coverage does not exist. Or, the company may decline to defend and risk the consequences. When an insurer reserves rights the insured has the right to control the defense. Further, when an insurer determines to reserve its right to contest coverage, it must provide a defense immediately or use alternate methods to reduce costs until coverage is decided.” (</w:t>
      </w:r>
      <w:r>
        <w:rPr>
          <w:rFonts w:ascii="Times New Roman" w:hAnsi="Times New Roman" w:cs="Times New Roman"/>
          <w:i/>
        </w:rPr>
        <w:t>Lakeside Foods, Inc. v. Liberty Mut. Fire Ins. Co.</w:t>
      </w:r>
      <w:r>
        <w:rPr>
          <w:rFonts w:ascii="Times New Roman" w:hAnsi="Times New Roman" w:cs="Times New Roman"/>
        </w:rPr>
        <w:t>, 329 Wis.2d 270, 789 N.W.2d 754 (2010) (citations, quotation marks, and ellipses omitted).)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 conflict of interest between the insured and insurer does not relieve the insurer of its contractual duty to defend. Where there is a conflict, the insurer must either provide an independent attorney to represent the insured or pay the costs incurred by the insured in hiring counsel of the insured’s own choice. Since [liability] claims gave rise to [the insurer’s] contractual duty to defend, [the insurer’s] failure to adopt either of these courses constituted a breach of its contractual obligation and makes it liable for appropriate damages.” (</w:t>
      </w:r>
      <w:r>
        <w:rPr>
          <w:rFonts w:ascii="Times New Roman" w:hAnsi="Times New Roman" w:cs="Times New Roman"/>
          <w:i/>
        </w:rPr>
        <w:t>American Motorists Ins. Co. v. Trane Co.,</w:t>
      </w:r>
      <w:r>
        <w:rPr>
          <w:rFonts w:ascii="Times New Roman" w:hAnsi="Times New Roman" w:cs="Times New Roman"/>
        </w:rPr>
        <w:t xml:space="preserve"> 544 F.Supp. 669, 686 (W.D.Wisc. 1982).)</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Wyoming</w:t>
      </w:r>
      <w:r>
        <w:rPr>
          <w:rFonts w:ascii="Times New Roman" w:hAnsi="Times New Roman" w:cs="Times New Roman"/>
        </w:rPr>
        <w:t xml:space="preserve"> “per se” rule but in search of an articulate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“[A]n insurer who reserves the right to deny coverage loses the right to control the litigation.” (</w:t>
      </w:r>
      <w:r>
        <w:rPr>
          <w:rFonts w:ascii="Times New Roman" w:hAnsi="Times New Roman" w:cs="Times New Roman"/>
          <w:i/>
        </w:rPr>
        <w:t>Ins. Co. of North Amer. v. Spangler,</w:t>
      </w:r>
      <w:r>
        <w:rPr>
          <w:rFonts w:ascii="Times New Roman" w:hAnsi="Times New Roman" w:cs="Times New Roman"/>
        </w:rPr>
        <w:t xml:space="preserve"> 881 F.Supp. 539, 543-44 (D.Wyo. 1995).)</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br w:type="page"/>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rPr>
      </w:pPr>
      <w:r>
        <w:rPr>
          <w:rFonts w:ascii="Times New Roman" w:hAnsi="Times New Roman" w:cs="Times New Roman"/>
        </w:rPr>
        <w:t>Appendix 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rPr>
      </w:pPr>
      <w:r>
        <w:rPr>
          <w:rFonts w:ascii="Times New Roman" w:hAnsi="Times New Roman" w:cs="Times New Roman"/>
        </w:rPr>
        <w:t>Rule 1.7 in All Jurisdictions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There is remarkable uniformity among American jurisdictions governing lawyer ethics in concurrent representation of clients with conflicting interests. Thirty jurisdictions adopt ABA Model Rule 1.7 without modification; ten jurisdictions indulge creative writing (Alabama, California, District of Columbia, Florida, Georgia, Mississippi, Missouri, North Dakota, Ohio, and Texas); nine jurisdictions add to it; two jurisdictions omit portions of it; one jurisdiction adds to and omits from it; and one jurisdiction rearranges the Model language - but all jurisdictions uniformly express the same concepts with very minor variations.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Start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 w:lineRule="exact"/>
        <w:rPr>
          <w:rFonts w:ascii="Times New Roman" w:hAnsi="Times New Roman" w:cs="Times New Roman"/>
        </w:rPr>
      </w:pP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ABA Model Rule 1.7 Client-Lawyer Relationship</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 Except as provided in paragraph (b), a lawyer shall not represent a client if the representation involves a concurrent conflict of interest. A concurrent conflict of interest exists if:</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(1) the representation of one client will be directly adverse to another client; or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(2) there is a significant risk that the representation of one or more clients will be materially limited by the lawyer's responsibilities to another client, a former client or a third person or by a personal interest of the lawyer.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(b) Notwithstanding the existence of a concurrent conflict of interest under paragraph (a), a lawyer may represent a client if:</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(1) the lawyer reasonably believes that the lawyer will be able to provide competent and diligent representation to each affected client;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(2) the representation is not prohibited by law;</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(3) the representation does not involve the assertion of a claim by one client against another client represented by the lawyer in the same litigation or other proceeding before a tribunal;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(4) each affected client gives informed consent, confirmed in writing.</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exact"/>
        <w:rPr>
          <w:rFonts w:ascii="Times New Roman" w:hAnsi="Times New Roman" w:cs="Times New Roman"/>
        </w:rPr>
      </w:pP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All states have adopted the ABA Rule 1.7 unless otherwise indicated.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Alabama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Rule 1.7.</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Conflict of Interest: General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 A lawyer shall not represent a client if the representation of that client will be directly adverse to another client, unless: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(1) The lawyer reasonably believes the representation will not adversely affect the relationship with the other client;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(2) Each client consents after consultation.</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(b) A lawyer shall not represent a client if the representation of that client may be materially limited by the lawyer's responsibilities to another client or a third person, or by the lawyer's own interests, unless: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(1) The lawyer reasonably believes the representation will not be adversely affected;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(2) The client consents after consultation. When representation of multiple clients in a single matter is undertaken, the consultation shall include explanation of the implications of the common representation and the advantages and risks involved.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Alaska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adds: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“(c) A lawyer shall act with reasonable diligence in determining whether a conflict of interest, as described in paragraphs (a) and (b) of this rule or Rules 1.8, 1.9, or 1.10, exists.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(d) For purposes of this rule, the term “client” does not include unidentified members of a class in a class action or identified members of a class when individual recovery is expected to be de minimis.”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Arizona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Rearranges the order of ABA Model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Arkansas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California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 A lawyer shall not, without informed written consent* from each client and compliance with paragraph (d), represent a client if the representation is directly adverse to another client in the same or a separate matter.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(b) A lawyer shall not, without informed written consent* from each affected client and compliance with paragraph (d), represent a client if there is a significant risk the lawyer’s representation of the client will be materially limited by the lawyer’s responsibilities to or relationships with another client, a former client or a third person,* or by the lawyer’s own interests.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(c) Even when a significant risk requiring a lawyer to comply with paragraph (b) is not present, a lawyer shall not represent a client without written* disclosure of the relationship to the client and compliance with paragraph (d) where: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(1) the lawyer has, or knows* that another lawyer in the lawyer’s firm* has, a legal, business, financial, professional, or personal relationship with or responsibility to a party or witness in the same matter; or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(2) the lawyer knows* or reasonably should know* that another party’s lawyer is a spouse, parent, child, or sibling of the lawyer, lives with the lawyer, is a client of the lawyer or another lawyer in the lawyer’s firm,* or has an intimate personal relationship with the lawyer.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(d) Representation is permitted under this rule only if the lawyer complies with paragraphs (a), (b), and (c),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(1) the lawyer reasonably believes* that the lawyer will be able to provide competent and diligent representation to each affected client;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(2) the representation is not prohibited by law;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(3) the representation does not involve the assertion of a claim by one client against another client represented by the lawyer in the same litigation or other proceeding before a tribunal.</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(e) For purposes of this rule, “matter” includes any judicial or other proceeding, application, request for a ruling or other determination, contract, transaction, claim, controversy, investigation, charge, accusation, arrest, or other deliberation, decision, or action that is focused on the interests of specific persons,* or a discrete and identifiable class of persons.*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Colorado</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Connecticut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Delaware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District of Columbia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 A lawyer shall not advance two or more adverse positions in the same matter.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(b) Except as permitted by paragraph (c) below, a lawyer shall not represent a client with respect to a matter if:</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(1) That matter involves a specific party or parties and a position to be taken by that client in that matter is adverse to a position taken or to be taken by another client in the same matter even though that client is unrepresented or represented by a different lawyer;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(2) Such representation will be or is likely to be adversely affected by representation of another client;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(3) Representation of another client will be or is likely to be adversely affected by such representation;</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(4) The lawyer’s professional judgment on behalf of the client will be or reasonably may be adversely affected by the lawyer’s responsibilities to or interests in a third party or the lawyer’s own financial, business, property, or personal interests.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(c) A lawyer may represent a client with respect to a matter in the circumstances described in paragraph (b) above if</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(1) Each potentially affected client provides informed consent to such representation after full disclosure of the existence and nature of the possible conflict and the possible adverse consequences of such representation;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(2) The lawyer reasonably believes that the lawyer will be able to provide competent and diligent representation to each affected client.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(d) If a conflict not reasonably foreseeable at the outset of representation arises under paragraph (b)(1) after the representation commences, and is not waived under paragraph (c), a lawyer need not withdraw from any representation unless the conflict also arises under paragraphs (b)(2), (b)(3), or (b)(4).</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Florida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 Representing Adverse Interests. Except as provided in subdivision (b), a lawyer must not represent a client if:</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(1) the representation of 1 client will be directly adverse to another client; or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(2) there is a substantial risk that the representation of 1 or more clients will be materially limited by the lawyer’s responsibilities to another client, a former client or a third person or by a personal interest of the lawyer.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(b) Informed Consent. Notwithstanding the existence of a conflict of interest under subdivision (a), a lawyer may represent a client if:</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(1) the lawyer reasonably believes that the lawyer will be able to provide competent and diligent representation to each affected client;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(2) the representation is not prohibited by law;</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(3) the representation does not involve the assertion of a position adverse to another client when the lawyer represents both clients in the same proceeding before a tribunal;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(4) each affected client gives informed consent, confirmed in writing or clearly stated on the record at a hearing.</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(c) Explanation to Clients. When representation of multiple clients in a single matter is undertaken, the consultation must include an explanation of the implications of the common representation and the advantages and risks involved.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(d) Lawyers Related by Blood, Adoption, or Marriage. A lawyer related by blood, adoption, or marriage to another lawyer as parent, child, sibling, or spouse must not represent a client in a representation directly adverse to a person who the lawyer knows is represented by the other lawyer except with the client’s informed consent, confirmed in writing or clearly stated on the record at a hearing.</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(e)</w:t>
      </w:r>
      <w:r>
        <w:rPr>
          <w:rFonts w:ascii="Times New Roman" w:hAnsi="Times New Roman" w:cs="Times New Roman"/>
          <w:b/>
        </w:rPr>
        <w:t xml:space="preserve"> Representation of Insureds</w:t>
      </w:r>
      <w:r>
        <w:rPr>
          <w:rFonts w:ascii="Times New Roman" w:hAnsi="Times New Roman" w:cs="Times New Roman"/>
        </w:rPr>
        <w:t>. Upon undertaking the representation of an insured client at the expense of the insurer, a lawyer has a duty to ascertain whether the lawyer will be representing both the insurer and the insured as clients, or only the insured, and to inform both the insured and the insurer regarding the scope of the representation. All other Rules Regulating The Florida Bar related to conflicts of interest apply to the representation as they would in any other situation.</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Georgia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w:t>
        <w:tab/>
        <w:t>A lawyer shall not represent or continue to represent a client if there is a significant risk that the lawyer's own interests or the lawyer's duties to another client, a former client, or a third person will materially and adversely affect the representation of the client, except as permitted in (b).</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(b)</w:t>
        <w:tab/>
        <w:t>If client informed consent is permissible a lawyer may represent a client notwithstanding a significant risk of material and adverse effect if each affected client or former client gives informed consent, confirmed in writing, to the representation after: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(1) consultation with the lawyer, pursuant to Rule 1.0 (c);</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(2) having received in writing reasonable and adequate information about the material risks of and reasonable available alternatives to the representation,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(3) having been given the opportunity to consult with independent counsel.</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(c) Client informed consent is not permissible if the representation:</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(1) is prohibited by law or these rules;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(2) includes the assertion of a claim by one client against another client represented by the lawyer in the same or substantially related proceeding; or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(3) involves circumstances rendering it reasonably unlikely that the lawyer will be able to provide adequate representation to one or more of the affected clients.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(d)</w:t>
        <w:tab/>
        <w:t>Though otherwise subject to the provisions of this rule, a part-time prosecutor who engages in the private practice of law may represent a private client adverse to the state or other political subdivision that the lawyer represents as a part-time prosecutor, except with regard to matters for which the part-time prosecutor had or has prosecutorial authority or responsibility.</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The maximum penalty for a violation of this rule is disbarment.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Hawaii</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adds: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(c) When representation of multiple clients in a single matter is contemplated, the consultation shall include explanation of the implications of the common representations, including both the advantages and the risks involved.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Idaho</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adds to (a) (2) </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“including family and domestic relationships.”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Illinois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(b)(4) omits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“confirmed in writing.”</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Indiana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Iowa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adds: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“(c) In no event shall a lawyer represent both parties in dissolution of marriage proceedings.”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Kansas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omits “or” between (a)(1) and (a)(2).</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Kentucky</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Louisiana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Maine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omits (b)(2) &amp; (3), but adds back the same subject matters as: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“(c) Under no circumstances may a lawyer represent a client if:</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(1) the representation is prohibited by law;</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(2) the representation involves the assertion of a claim by one client against another client represented by the lawyer in the same litigation or other proceeding before a tribunal.”</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Maryland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Massachusetts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Michigan</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Minnesota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Mississippi</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 A lawyer shall not represent a client if the representation of that client will be directly adverse to another client, unless the lawyer reasonably believes: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(1) the representation will not adversely affect the relationship with the other client;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(2) each client has given knowing and informed consent after consultation.</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The consultation shall include explanation of the implications of the adverse representation and the advantages and risks involved.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(b) A lawyer shall not represent a client if the representation of that client may be materially limited by the lawyer's responsibilities to another client or to a third person, or by the lawyer's own interests, unless the lawyer reasonably believes: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(1) the representation will not be adversely affected;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(2) the client has given knowing and informed consent after consultation. The consultation shall include explanation of the implications of the representation and the advantages and risks involved.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Missouri</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 A lawyer shall not represent a client if the representation of that client will be directly adverse to another client, unless the lawyer reasonably believes: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(1) the representation will not adversely affect the relationship with the other client;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(2) each client has given knowing and informed consent after consultation.</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The consultation shall include explanation of the implications of the adverse representation and the advantages and risks involved.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(b) A lawyer shall not represent a client if the representation of that client may be materially limited by the lawyer's responsibilities to another client or to a third person, or by the lawyer's own interests, unless the lawyer reasonably believes: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(1) the representation will not be adversely affected;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(2) the client has given knowing and informed consent after consultation. The consultation shall include explanation of the implications of the representation and the advantages and risks involved.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Montana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Nebraska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adds: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“(c) Notwithstanding the existence of a concurrent conflict of interest under paragraph (a), a lawyer associated in a firm with another lawyer who is serving as a county attorney in a county where the county attorney is not required to devote his or her full time to the legal work of the county may represent a client with adverse interests to the State of Nebraska in a matter or other proceeding before a tribunal in a separate county if:</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(1) the lawyer reasonably believes that the lawyer will be able to provide competent and diligent representation to each affected client;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(2) the representation is not prohibited by law;</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(3) the representation does not involve the assertion of a claim by one client against another client represented by the lawyer in the same matter or other proceeding before a tribunal;</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(4) the affected client, or if the affected client is a minor, his or her parent or guardian, gives informed consent, confirmed in writing, subject to the following restrictions: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(i) for appointment of a guardian ad litem pursuant to Neb. Rev. Stat. § 43-272(2), the juvenile court, on behalf of the juvenile, shall provide provisional informed consent upon the guardian ad litem’s appointment, and, at the time of the first appearance, the juvenile court shall determine whether the provisional informed consent is appropriate, upon consultation with the parties. For appointment of counsel under § 43-272(1)(a), the parent or guardian of the juvenile shall provide written informed consent;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(ii) the State of Nebraska shall not be required to provide informed consent;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(5) the member of the lawyer’s firm who serves as county attorney:</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(i) is timely screened from any participation in the matter;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(ii) is apportioned no part of the fee therefrom;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(6) the lawyer representing the affected client provides prompt written notice to the tribunal before which the matter is pending.”</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Nevada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New Hampshire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adds: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“(c) Notwithstanding (a) and (b) above, a lawyer from the New Hampshire Public Defender Program may represent an individual for arraignment if that individual is not: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(1) a co-defendant of a defendant also represented by the New Hampshire Public Defender Program; or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(2) a witness in a case in which the New Hampshire Public Defender Program represents a client and it is a case in which the New Hampshire Public Defender Program determines that there is a significant risk that the representation of the witness will materially limit the lawyer’s responsibilities to the existing client.”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New Jersey</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New Mexico</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New York</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North Carolina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North Dakota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 A lawyer shall not represent a client if the lawyer's ability to consider, recommend, or carry out a course of action on behalf of the client will be adversely affected by the lawyer's responsibilities to another client or to a third person, or by the lawyer's own interests.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(b) A lawyer shall not represent a client when the lawyer's own interests are likely to adversely affect the representation.</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(c) A lawyer shall not represent a client if the representation of that client might be adversely affected by the lawyer's responsibilities to another client or to a third person, or by the lawyer's own interests, unless: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(1) the lawyer reasonably believes the representation will not be adversely affected;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(2) the client consents after consultation. When representation of multiple clients in a single matter is undertaken, the consultation shall include explanation of the implications of the common representation and the advantages and risks involved.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(d) Except as required or permitted by Rule 1.6, a lawyer shall not use information relating to representation of a client to the disadvantage of a client unless a client who would be disadvantaged consents after consultation.</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Ohio</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 A lawyer's acceptance or continuation of representation of a client creates a conflict of interest if either of the following applies: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(1) the representation of that client will be directly adverse to another current client;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(2) there is a substantial risk that the lawyer's ability to consider, recommend, or carry out an appropriate course of action for that client will be materially limited by the lawyer's responsibilities to another client, a former client, or a third person or by the lawyer's own personal interests.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(b) A lawyer shall not accept or continue the representation of a client if a conflict of interest would be created pursuant to division (a) of this rule, unless all of the following apply:</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(1) the lawyer will be able to provide competent and diligent representation to each affected client;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(2) each affected client gives informed consent, confirmed in writing;</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(3) the representation is not precluded by division (c) of this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(c) Even if each affected client consents, the lawyer shall not accept or continue the representation if either of the following applies: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(1) the representation is prohibited by law;</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(2) the representation would involve the assertion of a claim by one client against another client represented by the lawyer in the same proceeding.</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Oklahoma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Oregon</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adds: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“(a)(3) the lawyer is related to another lawyer, as parent, child, sibling, spouse or domestic partner, in a matter adverse to a person whom the lawyer knows is represented by the other lawyer in the same matter.”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Pennsylvania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Rhode Island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South Carolina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South Dakota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Tennessee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adds: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“(c) A lawyer shall not represent more than one client in the same criminal case or juvenile delinquency proceeding, unless: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(1) the lawyer demonstrates to the tribunal that good cause exists to believe that no conflict of interest prohibited under this Rule presently exists or is likely to exist;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(2) each affected client gives informed consent.”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Virgin Islands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Texas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Rule 1.06 Conflict of Interest: General Rule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 A lawyer shall not represent opposing parties to the same litigation.</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(b) In other situations and except to the extent permitted by paragraph (c), a lawyer shall not represent a person if the representation of that person:</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(1) involves a substantially related matter in which that person's interests are materially and directly adverse to the interests of another client of the lawyer or the lawyer's firm; or</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(2) reasonably appears to be or become adversely limited by the lawyer's or law firm's responsibilities to another client or to a third person or by the lawyer's or law firm's own interests.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(c) A lawyer may represent a client in the circumstances described in (b) if:</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(1) the lawyer reasonably believes the representation of each client will not be materially affected; and</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(2) each affected or potentially affected client consents to such representation after full disclosure of the existence, nature, implications, and possible adverse consequences of the common representation and the advantages involved, if any.</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(d) A lawyer who has represented multiple parties in a matter shall not thereafter represent any of such parties in a dispute among the parties arising out of the matter, unless prior consent is obtained from all such parties to the dispute.</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(e) If a lawyer has accepted representation in violation of this Rule, or if multiple representation properly accepted becomes improper under this Rule, the lawyer shall promptly withdraw from one or more representations to the extent necessary for any remaining representation not to be in violation of these Rules.</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(f) If a lawyer would be prohibited by this Rule from engaging in particular conduct, no other lawyer while a member or associated with that lawyer's firm may engage in that conduct.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Utah</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Vermont</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Virginia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Washington</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West Virginia</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Wisconsin</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Wyoming</w:t>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br w:type="page"/>
      </w:r>
    </w:p>
    <w:p>
      <w:pPr>
        <w:tabs>
          <w:tab w:val="left" w:pos="-1428"/>
          <w:tab w:val="left" w:pos="-720"/>
          <w:tab w:val="left" w:pos="0"/>
          <w:tab w:val="left" w:pos="720"/>
          <w:tab w:val="left" w:pos="1080"/>
          <w:tab w:val="left" w:pos="1440"/>
          <w:tab w:val="left" w:pos="2160"/>
          <w:tab w:val="left" w:pos="2880"/>
          <w:tab w:val="left" w:pos="324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rPr>
      </w:pPr>
      <w:r>
        <w:rPr>
          <w:rFonts w:ascii="Times New Roman" w:hAnsi="Times New Roman" w:cs="Times New Roman"/>
          <w:b/>
        </w:rPr>
        <w:t>Table of Contents</w:t>
      </w:r>
    </w:p>
    <w:p>
      <w:pPr>
        <w:tabs>
          <w:tab w:val="right" w:pos="9360"/>
        </w:tabs>
        <w:rPr>
          <w:rFonts w:ascii="Times New Roman" w:hAnsi="Times New Roman" w:cs="Times New Roman"/>
        </w:rPr>
      </w:pPr>
      <w:r>
        <w:rPr>
          <w:rFonts w:ascii="Times New Roman" w:hAnsi="Times New Roman" w:cs="Times New Roman"/>
        </w:rPr>
        <w:tab/>
        <w:t>Page</w:t>
      </w:r>
    </w:p>
    <w:p>
      <w:pPr>
        <w:tabs>
          <w:tab w:val="right" w:pos="9360"/>
        </w:tabs>
        <w:rPr>
          <w:rFonts w:ascii="Times New Roman" w:hAnsi="Times New Roman" w:cs="Times New Roman"/>
        </w:rPr>
      </w:pPr>
      <w:r>
        <w:rPr>
          <w:rFonts w:ascii="Times New Roman" w:hAnsi="Times New Roman" w:cs="Times New Roman"/>
        </w:rPr>
        <w:t>Preface</w:t>
        <w:tab/>
        <w:t>1</w:t>
      </w:r>
    </w:p>
    <w:p>
      <w:pPr>
        <w:tabs>
          <w:tab w:val="right" w:leader="dot" w:pos="9360"/>
        </w:tabs>
        <w:rPr>
          <w:rFonts w:ascii="Times New Roman" w:hAnsi="Times New Roman" w:cs="Times New Roman"/>
        </w:rPr>
      </w:pPr>
      <w:r>
        <w:rPr>
          <w:rFonts w:ascii="Times New Roman" w:hAnsi="Times New Roman" w:cs="Times New Roman"/>
        </w:rPr>
        <w:t>Introduction</w:t>
        <w:tab/>
        <w:t>1</w:t>
      </w:r>
    </w:p>
    <w:p>
      <w:pPr>
        <w:tabs>
          <w:tab w:val="right" w:leader="dot" w:pos="9360"/>
        </w:tabs>
        <w:ind w:left="1080" w:hanging="1080"/>
        <w:rPr>
          <w:rFonts w:ascii="Times New Roman" w:hAnsi="Times New Roman" w:cs="Times New Roman"/>
        </w:rPr>
      </w:pPr>
      <w:r>
        <w:rPr>
          <w:rFonts w:ascii="Times New Roman" w:hAnsi="Times New Roman" w:cs="Times New Roman"/>
        </w:rPr>
        <w:tab/>
        <w:t>1.</w:t>
        <w:tab/>
        <w:t>Three “Rules” Emerge Among the Jurisdictions</w:t>
        <w:tab/>
        <w:t>2</w:t>
      </w:r>
    </w:p>
    <w:p>
      <w:pPr>
        <w:tabs>
          <w:tab w:val="right" w:leader="dot" w:pos="9360"/>
        </w:tabs>
        <w:ind w:left="1080" w:hanging="1080"/>
        <w:rPr>
          <w:rFonts w:ascii="Times New Roman" w:hAnsi="Times New Roman" w:cs="Times New Roman"/>
        </w:rPr>
      </w:pPr>
      <w:r>
        <w:rPr>
          <w:rFonts w:ascii="Times New Roman" w:hAnsi="Times New Roman" w:cs="Times New Roman"/>
        </w:rPr>
        <w:tab/>
        <w:t>2.</w:t>
        <w:tab/>
        <w:t>Editor’s Subjective Critique of Each Rule</w:t>
        <w:tab/>
        <w:t>3</w:t>
      </w:r>
    </w:p>
    <w:p>
      <w:pPr>
        <w:tabs>
          <w:tab w:val="right" w:leader="dot" w:pos="9360"/>
        </w:tabs>
        <w:ind w:left="1080" w:hanging="1080"/>
        <w:rPr>
          <w:rFonts w:ascii="Times New Roman" w:hAnsi="Times New Roman" w:cs="Times New Roman"/>
        </w:rPr>
      </w:pPr>
      <w:r>
        <w:rPr>
          <w:rFonts w:ascii="Times New Roman" w:hAnsi="Times New Roman" w:cs="Times New Roman"/>
        </w:rPr>
        <w:tab/>
        <w:t>3.</w:t>
        <w:tab/>
        <w:t>The Practical Application of the Law</w:t>
        <w:tab/>
        <w:t>4</w:t>
      </w:r>
    </w:p>
    <w:p>
      <w:pPr>
        <w:tabs>
          <w:tab w:val="right" w:leader="dot" w:pos="9360"/>
        </w:tabs>
        <w:ind w:left="1080" w:hanging="1080"/>
        <w:rPr>
          <w:rFonts w:ascii="Times New Roman" w:hAnsi="Times New Roman" w:cs="Times New Roman"/>
        </w:rPr>
      </w:pPr>
      <w:r>
        <w:rPr>
          <w:rFonts w:ascii="Times New Roman" w:hAnsi="Times New Roman" w:cs="Times New Roman"/>
        </w:rPr>
        <w:tab/>
        <w:t>4.</w:t>
        <w:tab/>
        <w:t>Three Tussles, Each With Separate Governing Laws</w:t>
        <w:tab/>
        <w:t>4</w:t>
      </w:r>
    </w:p>
    <w:p>
      <w:pPr>
        <w:tabs>
          <w:tab w:val="right" w:leader="dot" w:pos="9360"/>
        </w:tabs>
        <w:ind w:left="1080" w:hanging="1080"/>
        <w:rPr>
          <w:rFonts w:ascii="Times New Roman" w:hAnsi="Times New Roman" w:cs="Times New Roman"/>
        </w:rPr>
      </w:pPr>
      <w:r>
        <w:rPr>
          <w:rFonts w:ascii="Times New Roman" w:hAnsi="Times New Roman" w:cs="Times New Roman"/>
        </w:rPr>
        <w:tab/>
        <w:t>5.</w:t>
        <w:tab/>
        <w:t>Grounds to Distrust the Reserving Insurer and Dependent Counsel</w:t>
        <w:tab/>
        <w:t>4</w:t>
      </w:r>
    </w:p>
    <w:p>
      <w:pPr>
        <w:tabs>
          <w:tab w:val="right" w:leader="dot" w:pos="9360"/>
        </w:tabs>
        <w:ind w:left="1080" w:hanging="1080"/>
        <w:rPr>
          <w:rFonts w:ascii="Times New Roman" w:hAnsi="Times New Roman" w:cs="Times New Roman"/>
        </w:rPr>
      </w:pPr>
      <w:r>
        <w:rPr>
          <w:rFonts w:ascii="Times New Roman" w:hAnsi="Times New Roman" w:cs="Times New Roman"/>
        </w:rPr>
        <w:tab/>
        <w:t>6.</w:t>
        <w:tab/>
        <w:t>Dependent Counsel’s Duties of Loyalty, Confidentiality, and Disclosure</w:t>
        <w:tab/>
        <w:t>4</w:t>
      </w:r>
    </w:p>
    <w:p>
      <w:pPr>
        <w:tabs>
          <w:tab w:val="right" w:leader="dot" w:pos="9360"/>
        </w:tabs>
        <w:ind w:left="1080" w:hanging="1080"/>
        <w:rPr>
          <w:rFonts w:ascii="Times New Roman" w:hAnsi="Times New Roman" w:cs="Times New Roman"/>
        </w:rPr>
      </w:pPr>
      <w:r>
        <w:rPr>
          <w:rFonts w:ascii="Times New Roman" w:hAnsi="Times New Roman" w:cs="Times New Roman"/>
        </w:rPr>
        <w:tab/>
        <w:t>7.</w:t>
        <w:tab/>
        <w:t>The Need to Develop Admissible Evidence</w:t>
        <w:tab/>
        <w:t>4</w:t>
      </w:r>
    </w:p>
    <w:p>
      <w:pPr>
        <w:tabs>
          <w:tab w:val="right" w:leader="dot" w:pos="9360"/>
        </w:tabs>
        <w:ind w:left="1080" w:hanging="1080"/>
        <w:rPr>
          <w:rFonts w:ascii="Times New Roman" w:hAnsi="Times New Roman" w:cs="Times New Roman"/>
        </w:rPr>
      </w:pPr>
      <w:r>
        <w:rPr>
          <w:rFonts w:ascii="Times New Roman" w:hAnsi="Times New Roman" w:cs="Times New Roman"/>
        </w:rPr>
        <w:tab/>
        <w:t>8.</w:t>
        <w:tab/>
        <w:t>The Need to Carefully Frame Legal Issues</w:t>
        <w:tab/>
        <w:t>5</w:t>
      </w:r>
    </w:p>
    <w:p>
      <w:pPr>
        <w:tabs>
          <w:tab w:val="right" w:leader="dot" w:pos="9360"/>
        </w:tabs>
        <w:ind w:left="1080" w:hanging="1080"/>
        <w:rPr>
          <w:rFonts w:ascii="Times New Roman" w:hAnsi="Times New Roman" w:cs="Times New Roman"/>
        </w:rPr>
      </w:pPr>
      <w:r>
        <w:rPr>
          <w:rFonts w:ascii="Times New Roman" w:hAnsi="Times New Roman" w:cs="Times New Roman"/>
        </w:rPr>
        <w:tab/>
        <w:t>9.</w:t>
        <w:tab/>
        <w:t>When Should Ethical Issues be Resolved?</w:t>
        <w:tab/>
        <w:t>5</w:t>
      </w:r>
    </w:p>
    <w:p>
      <w:pPr>
        <w:tabs>
          <w:tab w:val="right" w:leader="dot" w:pos="9360"/>
        </w:tabs>
        <w:rPr>
          <w:rFonts w:ascii="Times New Roman" w:hAnsi="Times New Roman" w:cs="Times New Roman"/>
        </w:rPr>
      </w:pPr>
      <w:r>
        <w:rPr>
          <w:rFonts w:ascii="Times New Roman" w:hAnsi="Times New Roman" w:cs="Times New Roman"/>
        </w:rPr>
        <w:tab/>
        <w:t>Alabama</w:t>
        <w:tab/>
        <w:t>5</w:t>
      </w:r>
    </w:p>
    <w:p>
      <w:pPr>
        <w:tabs>
          <w:tab w:val="right" w:leader="dot" w:pos="9360"/>
        </w:tabs>
        <w:rPr>
          <w:rFonts w:ascii="Times New Roman" w:hAnsi="Times New Roman" w:cs="Times New Roman"/>
        </w:rPr>
      </w:pPr>
      <w:r>
        <w:rPr>
          <w:rFonts w:ascii="Times New Roman" w:hAnsi="Times New Roman" w:cs="Times New Roman"/>
        </w:rPr>
        <w:tab/>
        <w:t>Alaska</w:t>
        <w:tab/>
        <w:t>8</w:t>
      </w:r>
    </w:p>
    <w:p>
      <w:pPr>
        <w:tabs>
          <w:tab w:val="right" w:leader="dot" w:pos="9360"/>
        </w:tabs>
        <w:ind w:left="360" w:firstLine="0"/>
        <w:rPr>
          <w:rFonts w:ascii="Times New Roman" w:hAnsi="Times New Roman" w:cs="Times New Roman"/>
        </w:rPr>
      </w:pPr>
      <w:r>
        <w:rPr>
          <w:rFonts w:ascii="Times New Roman" w:hAnsi="Times New Roman" w:cs="Times New Roman"/>
        </w:rPr>
        <w:t>Arizona</w:t>
        <w:tab/>
        <w:t>8</w:t>
      </w:r>
    </w:p>
    <w:p>
      <w:pPr>
        <w:tabs>
          <w:tab w:val="right" w:leader="dot" w:pos="9360"/>
        </w:tabs>
        <w:rPr>
          <w:rFonts w:ascii="Times New Roman" w:hAnsi="Times New Roman" w:cs="Times New Roman"/>
        </w:rPr>
      </w:pPr>
      <w:r>
        <w:rPr>
          <w:rFonts w:ascii="Times New Roman" w:hAnsi="Times New Roman" w:cs="Times New Roman"/>
        </w:rPr>
        <w:tab/>
        <w:t>Arkansas</w:t>
        <w:tab/>
        <w:t>8</w:t>
      </w:r>
    </w:p>
    <w:p>
      <w:pPr>
        <w:tabs>
          <w:tab w:val="right" w:leader="dot" w:pos="9360"/>
        </w:tabs>
        <w:ind w:left="360" w:firstLine="0"/>
        <w:rPr>
          <w:rFonts w:ascii="Times New Roman" w:hAnsi="Times New Roman" w:cs="Times New Roman"/>
        </w:rPr>
      </w:pPr>
      <w:r>
        <w:rPr>
          <w:rFonts w:ascii="Times New Roman" w:hAnsi="Times New Roman" w:cs="Times New Roman"/>
        </w:rPr>
        <w:t>California</w:t>
        <w:tab/>
        <w:t>9</w:t>
      </w:r>
    </w:p>
    <w:p>
      <w:pPr>
        <w:tabs>
          <w:tab w:val="right" w:leader="dot" w:pos="9360"/>
        </w:tabs>
        <w:rPr>
          <w:rFonts w:ascii="Times New Roman" w:hAnsi="Times New Roman" w:cs="Times New Roman"/>
        </w:rPr>
      </w:pPr>
      <w:r>
        <w:rPr>
          <w:rFonts w:ascii="Times New Roman" w:hAnsi="Times New Roman" w:cs="Times New Roman"/>
        </w:rPr>
        <w:tab/>
        <w:t>Colorado</w:t>
        <w:tab/>
        <w:t>11</w:t>
      </w:r>
    </w:p>
    <w:p>
      <w:pPr>
        <w:tabs>
          <w:tab w:val="right" w:leader="dot" w:pos="9360"/>
        </w:tabs>
        <w:rPr>
          <w:rFonts w:ascii="Times New Roman" w:hAnsi="Times New Roman" w:cs="Times New Roman"/>
        </w:rPr>
      </w:pPr>
      <w:r>
        <w:rPr>
          <w:rFonts w:ascii="Times New Roman" w:hAnsi="Times New Roman" w:cs="Times New Roman"/>
        </w:rPr>
        <w:tab/>
        <w:t>Connecticut</w:t>
        <w:tab/>
        <w:t>11</w:t>
      </w:r>
    </w:p>
    <w:p>
      <w:pPr>
        <w:tabs>
          <w:tab w:val="right" w:leader="dot" w:pos="9360"/>
        </w:tabs>
        <w:rPr>
          <w:rFonts w:ascii="Times New Roman" w:hAnsi="Times New Roman" w:cs="Times New Roman"/>
        </w:rPr>
      </w:pPr>
      <w:r>
        <w:rPr>
          <w:rFonts w:ascii="Times New Roman" w:hAnsi="Times New Roman" w:cs="Times New Roman"/>
        </w:rPr>
        <w:tab/>
        <w:t>Delaware</w:t>
        <w:tab/>
        <w:t>11</w:t>
      </w:r>
    </w:p>
    <w:p>
      <w:pPr>
        <w:tabs>
          <w:tab w:val="right" w:leader="dot" w:pos="9360"/>
        </w:tabs>
        <w:rPr>
          <w:rFonts w:ascii="Times New Roman" w:hAnsi="Times New Roman" w:cs="Times New Roman"/>
        </w:rPr>
      </w:pPr>
      <w:r>
        <w:rPr>
          <w:rFonts w:ascii="Times New Roman" w:hAnsi="Times New Roman" w:cs="Times New Roman"/>
        </w:rPr>
        <w:tab/>
        <w:t>District of Columbia</w:t>
        <w:tab/>
        <w:t>11</w:t>
      </w:r>
    </w:p>
    <w:p>
      <w:pPr>
        <w:tabs>
          <w:tab w:val="right" w:leader="dot" w:pos="9360"/>
        </w:tabs>
        <w:rPr>
          <w:rFonts w:ascii="Times New Roman" w:hAnsi="Times New Roman" w:cs="Times New Roman"/>
        </w:rPr>
      </w:pPr>
      <w:r>
        <w:rPr>
          <w:rFonts w:ascii="Times New Roman" w:hAnsi="Times New Roman" w:cs="Times New Roman"/>
        </w:rPr>
        <w:tab/>
        <w:t>Florida</w:t>
        <w:tab/>
        <w:t>11</w:t>
      </w:r>
    </w:p>
    <w:p>
      <w:pPr>
        <w:tabs>
          <w:tab w:val="right" w:leader="dot" w:pos="9360"/>
        </w:tabs>
        <w:rPr>
          <w:rFonts w:ascii="Times New Roman" w:hAnsi="Times New Roman" w:cs="Times New Roman"/>
        </w:rPr>
      </w:pPr>
      <w:r>
        <w:rPr>
          <w:rFonts w:ascii="Times New Roman" w:hAnsi="Times New Roman" w:cs="Times New Roman"/>
        </w:rPr>
        <w:tab/>
        <w:t>Georgia</w:t>
        <w:tab/>
        <w:t>12</w:t>
      </w:r>
    </w:p>
    <w:p>
      <w:pPr>
        <w:tabs>
          <w:tab w:val="right" w:leader="dot" w:pos="9360"/>
        </w:tabs>
        <w:rPr>
          <w:rFonts w:ascii="Times New Roman" w:hAnsi="Times New Roman" w:cs="Times New Roman"/>
        </w:rPr>
      </w:pPr>
      <w:r>
        <w:rPr>
          <w:rFonts w:ascii="Times New Roman" w:hAnsi="Times New Roman" w:cs="Times New Roman"/>
        </w:rPr>
        <w:tab/>
        <w:t>Hawaii</w:t>
        <w:tab/>
        <w:t>12</w:t>
      </w:r>
    </w:p>
    <w:p>
      <w:pPr>
        <w:tabs>
          <w:tab w:val="right" w:leader="dot" w:pos="9360"/>
        </w:tabs>
        <w:rPr>
          <w:rFonts w:ascii="Times New Roman" w:hAnsi="Times New Roman" w:cs="Times New Roman"/>
        </w:rPr>
      </w:pPr>
      <w:r>
        <w:rPr>
          <w:rFonts w:ascii="Times New Roman" w:hAnsi="Times New Roman" w:cs="Times New Roman"/>
        </w:rPr>
        <w:tab/>
        <w:t>Idaho</w:t>
        <w:tab/>
        <w:t>14</w:t>
      </w:r>
    </w:p>
    <w:p>
      <w:pPr>
        <w:rPr>
          <w:rFonts w:ascii="Times New Roman" w:hAnsi="Times New Roman" w:cs="Times New Roman"/>
        </w:rPr>
      </w:pPr>
      <w:r>
        <w:rPr>
          <w:rFonts w:ascii="Times New Roman" w:hAnsi="Times New Roman" w:cs="Times New Roman"/>
        </w:rPr>
        <w:tab/>
        <w:t>Illinois</w:t>
        <w:tab/>
        <w:t>14</w:t>
      </w:r>
    </w:p>
    <w:p>
      <w:pPr>
        <w:rPr>
          <w:rFonts w:ascii="Times New Roman" w:hAnsi="Times New Roman" w:cs="Times New Roman"/>
        </w:rPr>
      </w:pPr>
      <w:r>
        <w:rPr>
          <w:rFonts w:ascii="Times New Roman" w:hAnsi="Times New Roman" w:cs="Times New Roman"/>
        </w:rPr>
        <w:tab/>
        <w:t>Indiana</w:t>
        <w:tab/>
        <w:t>15</w:t>
      </w:r>
    </w:p>
    <w:p>
      <w:pPr>
        <w:rPr>
          <w:rFonts w:ascii="Times New Roman" w:hAnsi="Times New Roman" w:cs="Times New Roman"/>
        </w:rPr>
      </w:pPr>
      <w:r>
        <w:rPr>
          <w:rFonts w:ascii="Times New Roman" w:hAnsi="Times New Roman" w:cs="Times New Roman"/>
        </w:rPr>
        <w:tab/>
        <w:t>Iowa</w:t>
        <w:tab/>
        <w:t>15</w:t>
      </w:r>
    </w:p>
    <w:p>
      <w:pPr>
        <w:rPr>
          <w:rFonts w:ascii="Times New Roman" w:hAnsi="Times New Roman" w:cs="Times New Roman"/>
        </w:rPr>
      </w:pPr>
      <w:r>
        <w:rPr>
          <w:rFonts w:ascii="Times New Roman" w:hAnsi="Times New Roman" w:cs="Times New Roman"/>
        </w:rPr>
        <w:tab/>
        <w:t>Kansas</w:t>
        <w:tab/>
        <w:t>16</w:t>
      </w:r>
    </w:p>
    <w:p>
      <w:pPr>
        <w:rPr>
          <w:rFonts w:ascii="Times New Roman" w:hAnsi="Times New Roman" w:cs="Times New Roman"/>
        </w:rPr>
      </w:pPr>
      <w:r>
        <w:rPr>
          <w:rFonts w:ascii="Times New Roman" w:hAnsi="Times New Roman" w:cs="Times New Roman"/>
        </w:rPr>
        <w:tab/>
        <w:t>Kentucky</w:t>
        <w:tab/>
        <w:t>16</w:t>
      </w:r>
    </w:p>
    <w:p>
      <w:pPr>
        <w:rPr>
          <w:rFonts w:ascii="Times New Roman" w:hAnsi="Times New Roman" w:cs="Times New Roman"/>
        </w:rPr>
      </w:pPr>
      <w:r>
        <w:rPr>
          <w:rFonts w:ascii="Times New Roman" w:hAnsi="Times New Roman" w:cs="Times New Roman"/>
        </w:rPr>
        <w:tab/>
        <w:t>Louisiana</w:t>
        <w:tab/>
        <w:t>16</w:t>
      </w:r>
    </w:p>
    <w:p>
      <w:pPr>
        <w:rPr>
          <w:rFonts w:ascii="Times New Roman" w:hAnsi="Times New Roman" w:cs="Times New Roman"/>
        </w:rPr>
      </w:pPr>
      <w:r>
        <w:rPr>
          <w:rFonts w:ascii="Times New Roman" w:hAnsi="Times New Roman" w:cs="Times New Roman"/>
        </w:rPr>
        <w:tab/>
        <w:t>Maine</w:t>
        <w:tab/>
        <w:t>17</w:t>
      </w:r>
    </w:p>
    <w:p>
      <w:pPr>
        <w:rPr>
          <w:rFonts w:ascii="Times New Roman" w:hAnsi="Times New Roman" w:cs="Times New Roman"/>
        </w:rPr>
      </w:pPr>
      <w:r>
        <w:rPr>
          <w:rFonts w:ascii="Times New Roman" w:hAnsi="Times New Roman" w:cs="Times New Roman"/>
        </w:rPr>
        <w:tab/>
        <w:t>Maryland</w:t>
        <w:tab/>
        <w:t>17</w:t>
      </w:r>
    </w:p>
    <w:p>
      <w:pPr>
        <w:rPr>
          <w:rFonts w:ascii="Times New Roman" w:hAnsi="Times New Roman" w:cs="Times New Roman"/>
        </w:rPr>
      </w:pPr>
      <w:r>
        <w:rPr>
          <w:rFonts w:ascii="Times New Roman" w:hAnsi="Times New Roman" w:cs="Times New Roman"/>
        </w:rPr>
        <w:tab/>
        <w:t>Massachusetts</w:t>
        <w:tab/>
        <w:t>17</w:t>
      </w:r>
    </w:p>
    <w:p>
      <w:pPr>
        <w:rPr>
          <w:rFonts w:ascii="Times New Roman" w:hAnsi="Times New Roman" w:cs="Times New Roman"/>
        </w:rPr>
      </w:pPr>
      <w:r>
        <w:rPr>
          <w:rFonts w:ascii="Times New Roman" w:hAnsi="Times New Roman" w:cs="Times New Roman"/>
        </w:rPr>
        <w:tab/>
        <w:t>Michigan</w:t>
        <w:tab/>
        <w:t>18</w:t>
      </w:r>
    </w:p>
    <w:p>
      <w:pPr>
        <w:rPr>
          <w:rFonts w:ascii="Times New Roman" w:hAnsi="Times New Roman" w:cs="Times New Roman"/>
        </w:rPr>
      </w:pPr>
      <w:r>
        <w:rPr>
          <w:rFonts w:ascii="Times New Roman" w:hAnsi="Times New Roman" w:cs="Times New Roman"/>
        </w:rPr>
        <w:tab/>
        <w:t>Minnesota</w:t>
        <w:tab/>
        <w:t>19</w:t>
      </w:r>
    </w:p>
    <w:p>
      <w:pPr>
        <w:rPr>
          <w:rFonts w:ascii="Times New Roman" w:hAnsi="Times New Roman" w:cs="Times New Roman"/>
        </w:rPr>
      </w:pPr>
      <w:r>
        <w:rPr>
          <w:rFonts w:ascii="Times New Roman" w:hAnsi="Times New Roman" w:cs="Times New Roman"/>
        </w:rPr>
        <w:tab/>
        <w:t>Mississippi</w:t>
        <w:tab/>
        <w:t>19</w:t>
      </w:r>
    </w:p>
    <w:p>
      <w:pPr>
        <w:rPr>
          <w:rFonts w:ascii="Times New Roman" w:hAnsi="Times New Roman" w:cs="Times New Roman"/>
        </w:rPr>
      </w:pPr>
      <w:r>
        <w:rPr>
          <w:rFonts w:ascii="Times New Roman" w:hAnsi="Times New Roman" w:cs="Times New Roman"/>
        </w:rPr>
        <w:tab/>
        <w:t>Missouri</w:t>
        <w:tab/>
        <w:t>20</w:t>
      </w:r>
    </w:p>
    <w:p>
      <w:pPr>
        <w:rPr>
          <w:rFonts w:ascii="Times New Roman" w:hAnsi="Times New Roman" w:cs="Times New Roman"/>
        </w:rPr>
      </w:pPr>
      <w:r>
        <w:rPr>
          <w:rFonts w:ascii="Times New Roman" w:hAnsi="Times New Roman" w:cs="Times New Roman"/>
        </w:rPr>
        <w:tab/>
        <w:t>Montana</w:t>
        <w:tab/>
        <w:t>20</w:t>
      </w:r>
    </w:p>
    <w:p>
      <w:pPr>
        <w:rPr>
          <w:rFonts w:ascii="Times New Roman" w:hAnsi="Times New Roman" w:cs="Times New Roman"/>
        </w:rPr>
      </w:pPr>
      <w:r>
        <w:rPr>
          <w:rFonts w:ascii="Times New Roman" w:hAnsi="Times New Roman" w:cs="Times New Roman"/>
        </w:rPr>
        <w:tab/>
        <w:t>Nebraska</w:t>
        <w:tab/>
        <w:t>21</w:t>
      </w:r>
    </w:p>
    <w:p>
      <w:pPr>
        <w:rPr>
          <w:rFonts w:ascii="Times New Roman" w:hAnsi="Times New Roman" w:cs="Times New Roman"/>
        </w:rPr>
      </w:pPr>
      <w:r>
        <w:rPr>
          <w:rFonts w:ascii="Times New Roman" w:hAnsi="Times New Roman" w:cs="Times New Roman"/>
        </w:rPr>
        <w:tab/>
        <w:t>Nevada</w:t>
        <w:tab/>
        <w:t>21</w:t>
      </w:r>
    </w:p>
    <w:p>
      <w:pPr>
        <w:rPr>
          <w:rFonts w:ascii="Times New Roman" w:hAnsi="Times New Roman" w:cs="Times New Roman"/>
        </w:rPr>
      </w:pPr>
      <w:r>
        <w:rPr>
          <w:rFonts w:ascii="Times New Roman" w:hAnsi="Times New Roman" w:cs="Times New Roman"/>
        </w:rPr>
        <w:tab/>
        <w:t>New Hampshire</w:t>
        <w:tab/>
        <w:t>22</w:t>
      </w:r>
    </w:p>
    <w:p>
      <w:pPr>
        <w:rPr>
          <w:rFonts w:ascii="Times New Roman" w:hAnsi="Times New Roman" w:cs="Times New Roman"/>
        </w:rPr>
      </w:pPr>
      <w:r>
        <w:rPr>
          <w:rFonts w:ascii="Times New Roman" w:hAnsi="Times New Roman" w:cs="Times New Roman"/>
        </w:rPr>
        <w:tab/>
        <w:t>New Jersey</w:t>
        <w:tab/>
        <w:t>22</w:t>
      </w:r>
    </w:p>
    <w:p>
      <w:pPr>
        <w:rPr>
          <w:rFonts w:ascii="Times New Roman" w:hAnsi="Times New Roman" w:cs="Times New Roman"/>
        </w:rPr>
      </w:pPr>
      <w:r>
        <w:rPr>
          <w:rFonts w:ascii="Times New Roman" w:hAnsi="Times New Roman" w:cs="Times New Roman"/>
        </w:rPr>
        <w:tab/>
        <w:t>New Mexico</w:t>
        <w:tab/>
        <w:t>22</w:t>
      </w:r>
    </w:p>
    <w:p>
      <w:pPr>
        <w:rPr>
          <w:rFonts w:ascii="Times New Roman" w:hAnsi="Times New Roman" w:cs="Times New Roman"/>
        </w:rPr>
      </w:pPr>
      <w:r>
        <w:rPr>
          <w:rFonts w:ascii="Times New Roman" w:hAnsi="Times New Roman" w:cs="Times New Roman"/>
        </w:rPr>
        <w:tab/>
        <w:t>New York</w:t>
        <w:tab/>
        <w:t>22</w:t>
      </w:r>
    </w:p>
    <w:p>
      <w:pPr>
        <w:rPr>
          <w:rFonts w:ascii="Times New Roman" w:hAnsi="Times New Roman" w:cs="Times New Roman"/>
        </w:rPr>
      </w:pPr>
      <w:r>
        <w:rPr>
          <w:rFonts w:ascii="Times New Roman" w:hAnsi="Times New Roman" w:cs="Times New Roman"/>
        </w:rPr>
        <w:tab/>
        <w:t>North Carolina</w:t>
        <w:tab/>
        <w:t>23</w:t>
      </w:r>
    </w:p>
    <w:p>
      <w:pPr>
        <w:rPr>
          <w:rFonts w:ascii="Times New Roman" w:hAnsi="Times New Roman" w:cs="Times New Roman"/>
        </w:rPr>
      </w:pPr>
      <w:r>
        <w:rPr>
          <w:rFonts w:ascii="Times New Roman" w:hAnsi="Times New Roman" w:cs="Times New Roman"/>
        </w:rPr>
        <w:tab/>
        <w:t>North Dakota</w:t>
        <w:tab/>
        <w:t>24</w:t>
      </w:r>
    </w:p>
    <w:p>
      <w:pPr>
        <w:rPr>
          <w:rFonts w:ascii="Times New Roman" w:hAnsi="Times New Roman" w:cs="Times New Roman"/>
        </w:rPr>
      </w:pPr>
      <w:r>
        <w:rPr>
          <w:rFonts w:ascii="Times New Roman" w:hAnsi="Times New Roman" w:cs="Times New Roman"/>
        </w:rPr>
        <w:tab/>
        <w:t>Ohio</w:t>
        <w:tab/>
        <w:t>24</w:t>
      </w:r>
    </w:p>
    <w:p>
      <w:pPr>
        <w:rPr>
          <w:rFonts w:ascii="Times New Roman" w:hAnsi="Times New Roman" w:cs="Times New Roman"/>
        </w:rPr>
      </w:pPr>
      <w:r>
        <w:rPr>
          <w:rFonts w:ascii="Times New Roman" w:hAnsi="Times New Roman" w:cs="Times New Roman"/>
        </w:rPr>
        <w:tab/>
        <w:t>Oklahoma</w:t>
        <w:tab/>
        <w:t>24</w:t>
      </w:r>
    </w:p>
    <w:p>
      <w:pPr>
        <w:rPr>
          <w:rFonts w:ascii="Times New Roman" w:hAnsi="Times New Roman" w:cs="Times New Roman"/>
        </w:rPr>
      </w:pPr>
      <w:r>
        <w:rPr>
          <w:rFonts w:ascii="Times New Roman" w:hAnsi="Times New Roman" w:cs="Times New Roman"/>
        </w:rPr>
        <w:tab/>
        <w:t>Oregon</w:t>
        <w:tab/>
        <w:t>25</w:t>
      </w:r>
    </w:p>
    <w:p>
      <w:pPr>
        <w:rPr>
          <w:rFonts w:ascii="Times New Roman" w:hAnsi="Times New Roman" w:cs="Times New Roman"/>
        </w:rPr>
      </w:pPr>
      <w:r>
        <w:rPr>
          <w:rFonts w:ascii="Times New Roman" w:hAnsi="Times New Roman" w:cs="Times New Roman"/>
        </w:rPr>
        <w:tab/>
        <w:t>Pennsylvania</w:t>
        <w:tab/>
        <w:t>25</w:t>
      </w:r>
    </w:p>
    <w:p>
      <w:pPr>
        <w:rPr>
          <w:rFonts w:ascii="Times New Roman" w:hAnsi="Times New Roman" w:cs="Times New Roman"/>
        </w:rPr>
      </w:pPr>
      <w:r>
        <w:rPr>
          <w:rFonts w:ascii="Times New Roman" w:hAnsi="Times New Roman" w:cs="Times New Roman"/>
        </w:rPr>
        <w:tab/>
        <w:t>Rhode Island</w:t>
        <w:tab/>
        <w:t>26</w:t>
      </w:r>
    </w:p>
    <w:p>
      <w:pPr>
        <w:rPr>
          <w:rFonts w:ascii="Times New Roman" w:hAnsi="Times New Roman" w:cs="Times New Roman"/>
        </w:rPr>
      </w:pPr>
      <w:r>
        <w:rPr>
          <w:rFonts w:ascii="Times New Roman" w:hAnsi="Times New Roman" w:cs="Times New Roman"/>
        </w:rPr>
        <w:tab/>
        <w:t>South Carolina</w:t>
        <w:tab/>
        <w:t>27</w:t>
      </w:r>
    </w:p>
    <w:p>
      <w:pPr>
        <w:rPr>
          <w:rFonts w:ascii="Times New Roman" w:hAnsi="Times New Roman" w:cs="Times New Roman"/>
        </w:rPr>
      </w:pPr>
      <w:r>
        <w:rPr>
          <w:rFonts w:ascii="Times New Roman" w:hAnsi="Times New Roman" w:cs="Times New Roman"/>
        </w:rPr>
        <w:tab/>
        <w:t>South Dakota</w:t>
        <w:tab/>
        <w:t>29</w:t>
      </w:r>
    </w:p>
    <w:p>
      <w:pPr>
        <w:tabs>
          <w:tab w:val="right" w:leader="dot" w:pos="9360"/>
        </w:tabs>
        <w:rPr>
          <w:rFonts w:ascii="Times New Roman" w:hAnsi="Times New Roman" w:cs="Times New Roman"/>
        </w:rPr>
      </w:pPr>
      <w:r>
        <w:rPr>
          <w:rFonts w:ascii="Times New Roman" w:hAnsi="Times New Roman" w:cs="Times New Roman"/>
        </w:rPr>
        <w:tab/>
        <w:t>Tennessee</w:t>
        <w:tab/>
        <w:t>29</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Territories Federal Jurisdiction</w:t>
      </w:r>
    </w:p>
    <w:p>
      <w:pPr>
        <w:tabs>
          <w:tab w:val="right" w:leader="dot" w:pos="9360"/>
        </w:tabs>
        <w:rPr>
          <w:rFonts w:ascii="Times New Roman" w:hAnsi="Times New Roman" w:cs="Times New Roman"/>
        </w:rPr>
      </w:pPr>
      <w:r>
        <w:rPr>
          <w:rFonts w:ascii="Times New Roman" w:hAnsi="Times New Roman" w:cs="Times New Roman"/>
        </w:rPr>
        <w:tab/>
        <w:tab/>
        <w:t>Virgin Islands</w:t>
        <w:tab/>
        <w:t>30</w:t>
      </w:r>
    </w:p>
    <w:p>
      <w:pPr>
        <w:tabs>
          <w:tab w:val="right" w:leader="dot" w:pos="9360"/>
        </w:tabs>
        <w:rPr>
          <w:rFonts w:ascii="Times New Roman" w:hAnsi="Times New Roman" w:cs="Times New Roman"/>
        </w:rPr>
      </w:pPr>
      <w:r>
        <w:rPr>
          <w:rFonts w:ascii="Times New Roman" w:hAnsi="Times New Roman" w:cs="Times New Roman"/>
        </w:rPr>
        <w:tab/>
        <w:t>Texas</w:t>
        <w:tab/>
        <w:t>30</w:t>
      </w:r>
    </w:p>
    <w:p>
      <w:pPr>
        <w:tabs>
          <w:tab w:val="right" w:leader="dot" w:pos="9360"/>
        </w:tabs>
        <w:rPr>
          <w:rFonts w:ascii="Times New Roman" w:hAnsi="Times New Roman" w:cs="Times New Roman"/>
        </w:rPr>
      </w:pPr>
      <w:r>
        <w:rPr>
          <w:rFonts w:ascii="Times New Roman" w:hAnsi="Times New Roman" w:cs="Times New Roman"/>
        </w:rPr>
        <w:tab/>
        <w:t>Utah</w:t>
        <w:tab/>
        <w:t>32</w:t>
      </w:r>
    </w:p>
    <w:p>
      <w:pPr>
        <w:tabs>
          <w:tab w:val="right" w:leader="dot" w:pos="9360"/>
        </w:tabs>
        <w:rPr>
          <w:rFonts w:ascii="Times New Roman" w:hAnsi="Times New Roman" w:cs="Times New Roman"/>
        </w:rPr>
      </w:pPr>
      <w:r>
        <w:rPr>
          <w:rFonts w:ascii="Times New Roman" w:hAnsi="Times New Roman" w:cs="Times New Roman"/>
        </w:rPr>
        <w:tab/>
        <w:t>Vermont</w:t>
        <w:tab/>
        <w:t>32</w:t>
      </w:r>
    </w:p>
    <w:p>
      <w:pPr>
        <w:tabs>
          <w:tab w:val="right" w:leader="dot" w:pos="9360"/>
        </w:tabs>
        <w:rPr>
          <w:rFonts w:ascii="Times New Roman" w:hAnsi="Times New Roman" w:cs="Times New Roman"/>
        </w:rPr>
      </w:pPr>
      <w:r>
        <w:rPr>
          <w:rFonts w:ascii="Times New Roman" w:hAnsi="Times New Roman" w:cs="Times New Roman"/>
        </w:rPr>
        <w:tab/>
        <w:t>Virginia</w:t>
        <w:tab/>
        <w:t>32</w:t>
      </w:r>
    </w:p>
    <w:p>
      <w:pPr>
        <w:tabs>
          <w:tab w:val="right" w:leader="dot" w:pos="9360"/>
        </w:tabs>
        <w:rPr>
          <w:rFonts w:ascii="Times New Roman" w:hAnsi="Times New Roman" w:cs="Times New Roman"/>
        </w:rPr>
      </w:pPr>
      <w:r>
        <w:rPr>
          <w:rFonts w:ascii="Times New Roman" w:hAnsi="Times New Roman" w:cs="Times New Roman"/>
        </w:rPr>
        <w:tab/>
        <w:t>Washington</w:t>
        <w:tab/>
        <w:t>32</w:t>
      </w:r>
    </w:p>
    <w:p>
      <w:pPr>
        <w:tabs>
          <w:tab w:val="right" w:leader="dot" w:pos="9360"/>
        </w:tabs>
        <w:rPr>
          <w:rFonts w:ascii="Times New Roman" w:hAnsi="Times New Roman" w:cs="Times New Roman"/>
        </w:rPr>
      </w:pPr>
      <w:r>
        <w:rPr>
          <w:rFonts w:ascii="Times New Roman" w:hAnsi="Times New Roman" w:cs="Times New Roman"/>
        </w:rPr>
        <w:tab/>
        <w:t>West Virginia</w:t>
        <w:tab/>
        <w:t>33</w:t>
      </w:r>
    </w:p>
    <w:p>
      <w:pPr>
        <w:tabs>
          <w:tab w:val="right" w:leader="dot" w:pos="9360"/>
        </w:tabs>
        <w:rPr>
          <w:rFonts w:ascii="Times New Roman" w:hAnsi="Times New Roman" w:cs="Times New Roman"/>
        </w:rPr>
      </w:pPr>
      <w:r>
        <w:rPr>
          <w:rFonts w:ascii="Times New Roman" w:hAnsi="Times New Roman" w:cs="Times New Roman"/>
        </w:rPr>
        <w:tab/>
        <w:t>Wisconsin</w:t>
        <w:tab/>
        <w:t>33</w:t>
      </w:r>
    </w:p>
    <w:p>
      <w:pPr>
        <w:tabs>
          <w:tab w:val="right" w:leader="dot" w:pos="9360"/>
        </w:tabs>
        <w:rPr>
          <w:rFonts w:ascii="Times New Roman" w:hAnsi="Times New Roman" w:cs="Times New Roman"/>
        </w:rPr>
      </w:pPr>
      <w:r>
        <w:rPr>
          <w:rFonts w:ascii="Times New Roman" w:hAnsi="Times New Roman" w:cs="Times New Roman"/>
        </w:rPr>
        <w:tab/>
        <w:t>Wyoming</w:t>
        <w:tab/>
        <w:t>34</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br w:type="page"/>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rPr>
      </w:pPr>
      <w:r>
        <w:rPr>
          <w:rFonts w:ascii="Times New Roman" w:hAnsi="Times New Roman" w:cs="Times New Roman"/>
          <w:b/>
        </w:rPr>
        <w:t>Table of Authorities</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rPr>
      </w:pPr>
      <w:r>
        <w:rPr>
          <w:rFonts w:ascii="Times New Roman" w:hAnsi="Times New Roman" w:cs="Times New Roman"/>
        </w:rPr>
        <w:t>(123 cases)</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Restatement of Liability Insurance</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b/>
        </w:rPr>
        <w:t>A</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A.B.C. Builders, Inc. v. American Mut. Ins. Co.</w:t>
      </w:r>
      <w:r>
        <w:rPr>
          <w:rFonts w:ascii="Times New Roman" w:hAnsi="Times New Roman" w:cs="Times New Roman"/>
        </w:rPr>
        <w:t>, 139 N.H. 745 (1995)</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Aerojet-General Corp. v. Transport Indemnity Co.</w:t>
      </w:r>
      <w:r>
        <w:rPr>
          <w:rFonts w:ascii="Times New Roman" w:hAnsi="Times New Roman" w:cs="Times New Roman"/>
        </w:rPr>
        <w:t xml:space="preserve"> 17 Cal.4th 38 (1997)</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All-Star Ins. Corp. v. Steel Bar, Inc.,</w:t>
      </w:r>
      <w:r>
        <w:rPr>
          <w:rFonts w:ascii="Times New Roman" w:hAnsi="Times New Roman" w:cs="Times New Roman"/>
        </w:rPr>
        <w:t xml:space="preserve"> 324 F.Supp. 160 (N.D. Ind. 1971)</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Allstate Ins. Co. v. Campbell</w:t>
      </w:r>
      <w:r>
        <w:rPr>
          <w:rFonts w:ascii="Times New Roman" w:hAnsi="Times New Roman" w:cs="Times New Roman"/>
        </w:rPr>
        <w:t>, 334 Md. 381, 639 A.2d 652 (1994)</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American Employers Ins. Co. v. Crawford</w:t>
      </w:r>
      <w:r>
        <w:rPr>
          <w:rFonts w:ascii="Times New Roman" w:hAnsi="Times New Roman" w:cs="Times New Roman"/>
        </w:rPr>
        <w:t xml:space="preserve">, 87 N.M. 375, 533 P.2d 1203 (1975) </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American Family Mut. Ins. Co. v. Blackburn</w:t>
      </w:r>
      <w:r>
        <w:rPr>
          <w:rFonts w:ascii="Times New Roman" w:hAnsi="Times New Roman" w:cs="Times New Roman"/>
        </w:rPr>
        <w:t>, 566 N.E.2d 889 (Ill. App. 1991)</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American Family Life Assur. Co. v. U.S. Fire Co.,</w:t>
      </w:r>
      <w:r>
        <w:rPr>
          <w:rFonts w:ascii="Times New Roman" w:hAnsi="Times New Roman" w:cs="Times New Roman"/>
        </w:rPr>
        <w:t xml:space="preserve"> 885 F.2d 826 (11th Cir. 1989) (Ga. law)</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Amer. Family Mut. Ins. Co. v. W.H. McNaughton Builders, Inc.</w:t>
      </w:r>
      <w:r>
        <w:rPr>
          <w:rFonts w:ascii="Times New Roman" w:hAnsi="Times New Roman" w:cs="Times New Roman"/>
        </w:rPr>
        <w:t>, 843 N.E.2d 492 (Ill. Ct. App. 2006)</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American Motorists Ins. Co. v. Trane Co.,</w:t>
      </w:r>
      <w:r>
        <w:rPr>
          <w:rFonts w:ascii="Times New Roman" w:hAnsi="Times New Roman" w:cs="Times New Roman"/>
        </w:rPr>
        <w:t xml:space="preserve"> 544 F.Supp. 669 (W.D.Wisc.1982)</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Aquino v. State Farm Ins. Co.</w:t>
      </w:r>
      <w:r>
        <w:rPr>
          <w:rFonts w:ascii="Times New Roman" w:hAnsi="Times New Roman" w:cs="Times New Roman"/>
        </w:rPr>
        <w:t>, 349 N.J. Super. 402, 793 A.2d 824 (App. Div. 2002)</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Arden v. Forsberg &amp; Umlauf</w:t>
      </w:r>
      <w:r>
        <w:rPr>
          <w:rFonts w:ascii="Times New Roman" w:hAnsi="Times New Roman" w:cs="Times New Roman"/>
        </w:rPr>
        <w:t xml:space="preserve"> 402 P.3d 245, 189 Wash.2d 315 (2017) </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Armstrong Cleaners, Inc. v. Erie Ins. Exch.</w:t>
      </w:r>
      <w:r>
        <w:rPr>
          <w:rFonts w:ascii="Times New Roman" w:hAnsi="Times New Roman" w:cs="Times New Roman"/>
        </w:rPr>
        <w:t xml:space="preserve"> 363 F.Supp.2d 797, 806-08 (S.D. Ind. 2005)</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 xml:space="preserve">Atty Liab. Protection Soc. v. Ingaldson Fitgerald, </w:t>
      </w:r>
      <w:r>
        <w:rPr>
          <w:rFonts w:ascii="Times New Roman" w:hAnsi="Times New Roman" w:cs="Times New Roman"/>
        </w:rPr>
        <w:t>Sup. Ct. No. S-15683 (Alaska 2016)</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Auto-Owners Ins. Co. v. Lake Erie Land Co.,</w:t>
      </w:r>
      <w:r>
        <w:rPr>
          <w:rFonts w:ascii="Times New Roman" w:hAnsi="Times New Roman" w:cs="Times New Roman"/>
        </w:rPr>
        <w:t xml:space="preserve"> 2:12-CV-184 JD (N.D. Ind. 2013)</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b/>
        <w:t>B</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Babcock &amp; Wilcox Co. v. Am. Nuclear Insurers</w:t>
      </w:r>
      <w:r>
        <w:rPr>
          <w:rFonts w:ascii="Times New Roman" w:hAnsi="Times New Roman" w:cs="Times New Roman"/>
        </w:rPr>
        <w:t>, 76 A.3d 1 (Pa. 2013)</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Baio v. Comm’l Union Ins. Co.</w:t>
      </w:r>
      <w:r>
        <w:rPr>
          <w:rFonts w:ascii="Times New Roman" w:hAnsi="Times New Roman" w:cs="Times New Roman"/>
        </w:rPr>
        <w:t>, 410 A.2d 502 (Del. 1979)</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Barefield v. DPIC Co.’s, Inc</w:t>
      </w:r>
      <w:r>
        <w:rPr>
          <w:rFonts w:ascii="Times New Roman" w:hAnsi="Times New Roman" w:cs="Times New Roman"/>
        </w:rPr>
        <w:t>., 215 W.Va. 544, 600 S.E.2d 256 (2004)</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Belanger v. Gabriel Chemicals, Inc.</w:t>
      </w:r>
      <w:r>
        <w:rPr>
          <w:rFonts w:ascii="Times New Roman" w:hAnsi="Times New Roman" w:cs="Times New Roman"/>
        </w:rPr>
        <w:t>, 787 So.2d 559, 565-66 (2001)</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Blanchard v. State Farm Fire &amp; Casualty Co.,</w:t>
      </w:r>
      <w:r>
        <w:rPr>
          <w:rFonts w:ascii="Times New Roman" w:hAnsi="Times New Roman" w:cs="Times New Roman"/>
        </w:rPr>
        <w:t xml:space="preserve"> 2 Cal.App.4th 345 (1991)</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Boise Motor Car Co. v. St. Paul-Mercury Indem. Co.,</w:t>
      </w:r>
      <w:r>
        <w:rPr>
          <w:rFonts w:ascii="Times New Roman" w:hAnsi="Times New Roman" w:cs="Times New Roman"/>
        </w:rPr>
        <w:t xml:space="preserve"> 62 Idaho 438, 112 P.2d 1011 (1941)</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Brohawn v. Transamerica Ins. Co.,</w:t>
      </w:r>
      <w:r>
        <w:rPr>
          <w:rFonts w:ascii="Times New Roman" w:hAnsi="Times New Roman" w:cs="Times New Roman"/>
        </w:rPr>
        <w:t xml:space="preserve"> 276 Md. 396, 347 A.2d 842 (1975)</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Bryan v. State-Wide Ins. Co.,</w:t>
      </w:r>
      <w:r>
        <w:rPr>
          <w:rFonts w:ascii="Times New Roman" w:hAnsi="Times New Roman" w:cs="Times New Roman"/>
        </w:rPr>
        <w:t xml:space="preserve"> 144 A.D.2d 325, 533 N.Y.S.2d 951 (1988)</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Butters v. City of Independence,</w:t>
      </w:r>
      <w:r>
        <w:rPr>
          <w:rFonts w:ascii="Times New Roman" w:hAnsi="Times New Roman" w:cs="Times New Roman"/>
        </w:rPr>
        <w:t xml:space="preserve"> 513 S.W.2d 418 (Mo. 1974)</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b/>
        <w:t>C</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Campbell v. Allstate Ins. Co.</w:t>
      </w:r>
      <w:r>
        <w:rPr>
          <w:rFonts w:ascii="Times New Roman" w:hAnsi="Times New Roman" w:cs="Times New Roman"/>
        </w:rPr>
        <w:t>, 96 Md. 277, 624 A.2d 1310 (1993)</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Capitol Indemnity Corp. v. St. Paul Fire &amp; Marine Insurance Co.</w:t>
      </w:r>
      <w:r>
        <w:rPr>
          <w:rFonts w:ascii="Times New Roman" w:hAnsi="Times New Roman" w:cs="Times New Roman"/>
        </w:rPr>
        <w:t>, 357 F.Supp. 399 (W.D. Wis. 1972) (Minn. law)</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Cardin v. Pac. Emp. Ins. Co.</w:t>
      </w:r>
      <w:r>
        <w:rPr>
          <w:rFonts w:ascii="Times New Roman" w:hAnsi="Times New Roman" w:cs="Times New Roman"/>
        </w:rPr>
        <w:t>, 745 F.Supp. 330 (Maryland law)</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Cay Divers, Inc. v. Raven,</w:t>
      </w:r>
      <w:r>
        <w:rPr>
          <w:rFonts w:ascii="Times New Roman" w:hAnsi="Times New Roman" w:cs="Times New Roman"/>
        </w:rPr>
        <w:t xml:space="preserve"> 812 F.2d 866 (3rd Cir. 1987) (Virgin Islands law)</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Centex Homes v. St. Paul Fire &amp; Marine Ins. Co.,</w:t>
      </w:r>
      <w:r>
        <w:rPr>
          <w:rFonts w:ascii="Times New Roman" w:hAnsi="Times New Roman" w:cs="Times New Roman"/>
        </w:rPr>
        <w:t xml:space="preserve"> 237 Cal.App.4th 23 (2015) </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CHI of Alaska, Inc. v. Employers Reinsurance Corp.,</w:t>
      </w:r>
      <w:r>
        <w:rPr>
          <w:rFonts w:ascii="Times New Roman" w:hAnsi="Times New Roman" w:cs="Times New Roman"/>
        </w:rPr>
        <w:t xml:space="preserve"> 844 P.2d 1113, (Alaska 1993)</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Choinsky v. Germantown School Dist.</w:t>
      </w:r>
      <w:r>
        <w:rPr>
          <w:rFonts w:ascii="Times New Roman" w:hAnsi="Times New Roman" w:cs="Times New Roman"/>
        </w:rPr>
        <w:t xml:space="preserve"> 926 N.W.2d 196, 2019 WI App 12 (2019)</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Cincinnati Ins. Co. v. Vance</w:t>
      </w:r>
      <w:r>
        <w:rPr>
          <w:rFonts w:ascii="Times New Roman" w:hAnsi="Times New Roman" w:cs="Times New Roman"/>
        </w:rPr>
        <w:t>, 730 S.W.2d 521 (Ky. 1987)</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Clarke-Peterson Co., Inc. v. Independent Ins. Asso. Ltd</w:t>
      </w:r>
      <w:r>
        <w:rPr>
          <w:rFonts w:ascii="Times New Roman" w:hAnsi="Times New Roman" w:cs="Times New Roman"/>
        </w:rPr>
        <w:t>, 514 N.W.2d 912 (Iowa 1994)</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Coats, Rose, etc., v. Navigators Spec. Ins. Co.</w:t>
      </w:r>
      <w:r>
        <w:rPr>
          <w:rFonts w:ascii="Times New Roman" w:hAnsi="Times New Roman" w:cs="Times New Roman"/>
        </w:rPr>
        <w:t>, 830 F. Supp.2d 216 (N.D. Tex. 2011)</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Continental Cas. Co. v. National Union Fire Ins. Co.</w:t>
      </w:r>
      <w:r>
        <w:rPr>
          <w:rFonts w:ascii="Times New Roman" w:hAnsi="Times New Roman" w:cs="Times New Roman"/>
        </w:rPr>
        <w:t>, 940 F. Supp.2d 898 (D. Minn. 2013)</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Continental Ins. Co. v. Bayless &amp; Roberts, Inc.,</w:t>
      </w:r>
      <w:r>
        <w:rPr>
          <w:rFonts w:ascii="Times New Roman" w:hAnsi="Times New Roman" w:cs="Times New Roman"/>
        </w:rPr>
        <w:t xml:space="preserve"> 608 P.2d 281 (Alaska 1980)</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Corrado Bros., Inc. v. Twin City Fire Ins. Co.</w:t>
      </w:r>
      <w:r>
        <w:rPr>
          <w:rFonts w:ascii="Times New Roman" w:hAnsi="Times New Roman" w:cs="Times New Roman"/>
        </w:rPr>
        <w:t>, 562 A.2d 1188 (Del. 1989)</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br w:type="page"/>
        <w:tab/>
        <w:t>D</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Dynamic Concepts, Inc. v. Truck Ins. Exchange,</w:t>
      </w:r>
      <w:r>
        <w:rPr>
          <w:rFonts w:ascii="Times New Roman" w:hAnsi="Times New Roman" w:cs="Times New Roman"/>
        </w:rPr>
        <w:t xml:space="preserve"> 61 Cal.App.4th 999 (1998)</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b/>
        <w:t>E</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Econ. Premier Assur. Co. v. Faith in Action of McHenry County</w:t>
      </w:r>
      <w:r>
        <w:rPr>
          <w:rFonts w:ascii="Times New Roman" w:hAnsi="Times New Roman" w:cs="Times New Roman"/>
        </w:rPr>
        <w:t>, Nos. 1-11-2329, 1-11-2457, IL App (2013)</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Emery v. Progressive Cas. Ins. Co.</w:t>
      </w:r>
      <w:r>
        <w:rPr>
          <w:rFonts w:ascii="Times New Roman" w:hAnsi="Times New Roman" w:cs="Times New Roman"/>
        </w:rPr>
        <w:t>, 49 So.3d 17 (La. 2010)</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Employer’s Fire Ins. Co. v. Beals</w:t>
      </w:r>
      <w:r>
        <w:rPr>
          <w:rFonts w:ascii="Times New Roman" w:hAnsi="Times New Roman" w:cs="Times New Roman"/>
        </w:rPr>
        <w:t>, 103 R.I. 623, 240 A.2d 397 (1968)</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b/>
        </w:rPr>
        <w:t>F</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Federal Ins. Co. v. X-Rite</w:t>
      </w:r>
      <w:r>
        <w:rPr>
          <w:rFonts w:ascii="Times New Roman" w:hAnsi="Times New Roman" w:cs="Times New Roman"/>
        </w:rPr>
        <w:t xml:space="preserve">, </w:t>
      </w:r>
      <w:r>
        <w:rPr>
          <w:rFonts w:ascii="Times New Roman" w:hAnsi="Times New Roman" w:cs="Times New Roman"/>
          <w:i/>
        </w:rPr>
        <w:t>Inc.</w:t>
      </w:r>
      <w:r>
        <w:rPr>
          <w:rFonts w:ascii="Times New Roman" w:hAnsi="Times New Roman" w:cs="Times New Roman"/>
        </w:rPr>
        <w:t>, 748 F. Supp. 1223 (W.D. Mich. 1990)</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Ferguson v. Birmingham Fire Ins. Co.</w:t>
      </w:r>
      <w:r>
        <w:rPr>
          <w:rFonts w:ascii="Times New Roman" w:hAnsi="Times New Roman" w:cs="Times New Roman"/>
        </w:rPr>
        <w:t>, 460 P.2d 342 (Or. 1969)</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Fetch v. Quam</w:t>
      </w:r>
      <w:r>
        <w:rPr>
          <w:rFonts w:ascii="Times New Roman" w:hAnsi="Times New Roman" w:cs="Times New Roman"/>
        </w:rPr>
        <w:t>, 530 N.W.2d 337 (N.D. 1995)</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Finley v. The Home Insurance Company</w:t>
      </w:r>
      <w:r>
        <w:rPr>
          <w:rFonts w:ascii="Times New Roman" w:hAnsi="Times New Roman" w:cs="Times New Roman"/>
        </w:rPr>
        <w:t>, 90 Hawai’i 25, 975 P.2d 1145 (1990)</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First United Bank of Bellevue v. First American Title Ins. Co.,</w:t>
      </w:r>
      <w:r>
        <w:rPr>
          <w:rFonts w:ascii="Times New Roman" w:hAnsi="Times New Roman" w:cs="Times New Roman"/>
        </w:rPr>
        <w:t xml:space="preserve"> 242 Neb. 640, 496 N.W.2d 474 (1993)</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Flatt v. Superior Court</w:t>
      </w:r>
      <w:r>
        <w:rPr>
          <w:rFonts w:ascii="Times New Roman" w:hAnsi="Times New Roman" w:cs="Times New Roman"/>
        </w:rPr>
        <w:t>, 9 Cal.4th 275 (1994)</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Foremost Ins. Co. v. Wilks,</w:t>
      </w:r>
      <w:r>
        <w:rPr>
          <w:rFonts w:ascii="Times New Roman" w:hAnsi="Times New Roman" w:cs="Times New Roman"/>
        </w:rPr>
        <w:t xml:space="preserve"> 206 Cal.App.3d 251 (1988)</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b/>
        <w:t>G</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Gafcon, Inc. v. Ponsor &amp; Associates</w:t>
      </w:r>
      <w:r>
        <w:rPr>
          <w:rFonts w:ascii="Times New Roman" w:hAnsi="Times New Roman" w:cs="Times New Roman"/>
        </w:rPr>
        <w:t>, 98 Cal.App.4th 1388 (2002)</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Givens v. Mullikin ex rel. Estate of McElwaney</w:t>
      </w:r>
      <w:r>
        <w:rPr>
          <w:rFonts w:ascii="Times New Roman" w:hAnsi="Times New Roman" w:cs="Times New Roman"/>
        </w:rPr>
        <w:t>, 75 S.W.3d 383 (Tenn. 2002)</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Golotrade Shipping &amp; Char., Inc. v. Travelers Indem. Co.,</w:t>
      </w:r>
      <w:r>
        <w:rPr>
          <w:rFonts w:ascii="Times New Roman" w:hAnsi="Times New Roman" w:cs="Times New Roman"/>
        </w:rPr>
        <w:t xml:space="preserve"> 706 F.Supp. 214 (S.D.N.Y. 1989)</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Gulf Ins. Co. v. Berger, Kahn, etc.,</w:t>
      </w:r>
      <w:r>
        <w:rPr>
          <w:rFonts w:ascii="Times New Roman" w:hAnsi="Times New Roman" w:cs="Times New Roman"/>
        </w:rPr>
        <w:t xml:space="preserve"> 79 Cal.App.4th 114 (2000)</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b/>
        <w:t>H</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Hartford Acc. &amp; Indem. Co. v. Foster,</w:t>
      </w:r>
      <w:r>
        <w:rPr>
          <w:rFonts w:ascii="Times New Roman" w:hAnsi="Times New Roman" w:cs="Times New Roman"/>
        </w:rPr>
        <w:t xml:space="preserve"> 528 So.2d 255 (Miss. 1988)</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Hartford Casualty Ins. Co. v. Swift Distribution, Inc.,</w:t>
      </w:r>
      <w:r>
        <w:rPr>
          <w:rFonts w:ascii="Times New Roman" w:hAnsi="Times New Roman" w:cs="Times New Roman"/>
        </w:rPr>
        <w:t xml:space="preserve"> 59 Cal.4th 277 (2014)</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Harleysville Group Ins. v. Heritage Communities, Inc.</w:t>
      </w:r>
      <w:r>
        <w:rPr>
          <w:rFonts w:ascii="Times New Roman" w:hAnsi="Times New Roman" w:cs="Times New Roman"/>
        </w:rPr>
        <w:t>, 420 S.C. 321, 803 S.E.2d 288 (SC 2017)</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Haskel, Inc. v. Superior Court</w:t>
      </w:r>
      <w:r>
        <w:rPr>
          <w:rFonts w:ascii="Times New Roman" w:hAnsi="Times New Roman" w:cs="Times New Roman"/>
        </w:rPr>
        <w:t>, 33 Cal.App.4th 963 (1995)</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Hawkeye Cas. Co. v. Stoker</w:t>
      </w:r>
      <w:r>
        <w:rPr>
          <w:rFonts w:ascii="Times New Roman" w:hAnsi="Times New Roman" w:cs="Times New Roman"/>
        </w:rPr>
        <w:t>, 48 N.W.2d 623 (Neb. 1951)</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Herbert A. Sullivan, Inc. v. Utica Mut. Ins. Co.</w:t>
      </w:r>
      <w:r>
        <w:rPr>
          <w:rFonts w:ascii="Times New Roman" w:hAnsi="Times New Roman" w:cs="Times New Roman"/>
        </w:rPr>
        <w:t>, 439 Mass. 387, 788 N.E.2d 522, 539 (2003)</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Higgins v. Karp</w:t>
      </w:r>
      <w:r>
        <w:rPr>
          <w:rFonts w:ascii="Times New Roman" w:hAnsi="Times New Roman" w:cs="Times New Roman"/>
        </w:rPr>
        <w:t>, 239 Conn. 802, 810, 687 A.2d 539, 543 (1997)</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Howard v. Russell Stover Candies Inc.,</w:t>
      </w:r>
      <w:r>
        <w:rPr>
          <w:rFonts w:ascii="Times New Roman" w:hAnsi="Times New Roman" w:cs="Times New Roman"/>
        </w:rPr>
        <w:t xml:space="preserve"> 649 F.2d 620 (8th Cir. 1981) (Mo. law)</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b/>
        <w:t>I</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In re Youngblood</w:t>
      </w:r>
      <w:r>
        <w:rPr>
          <w:rFonts w:ascii="Times New Roman" w:hAnsi="Times New Roman" w:cs="Times New Roman"/>
        </w:rPr>
        <w:t>, 895 S.W.2d 322, 328 (Tenn. 1995)</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Ins. Co. of North Amer. v. Spangler,</w:t>
      </w:r>
      <w:r>
        <w:rPr>
          <w:rFonts w:ascii="Times New Roman" w:hAnsi="Times New Roman" w:cs="Times New Roman"/>
        </w:rPr>
        <w:t xml:space="preserve"> 881 F.Supp. 539 (D.Wyo. 1995)</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b/>
        <w:t>J</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James 3 Corp. v. Truck Ins. Exchange</w:t>
      </w:r>
      <w:r>
        <w:rPr>
          <w:rFonts w:ascii="Times New Roman" w:hAnsi="Times New Roman" w:cs="Times New Roman"/>
        </w:rPr>
        <w:t>, 91 Cal.App.4th 1093 (2001)</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b/>
        <w:t>L</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Lakeside Foods, Inc. v. Liberty Mut. Fire Ins. Co.</w:t>
      </w:r>
      <w:r>
        <w:rPr>
          <w:rFonts w:ascii="Times New Roman" w:hAnsi="Times New Roman" w:cs="Times New Roman"/>
        </w:rPr>
        <w:t>, 329 Wis.2d 270, 789 N.W.2d 754 (2010)</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L &amp; S Roofing Supply Co. v. St. Paul Fire &amp; Marine Ins. Co.,</w:t>
      </w:r>
      <w:r>
        <w:rPr>
          <w:rFonts w:ascii="Times New Roman" w:hAnsi="Times New Roman" w:cs="Times New Roman"/>
        </w:rPr>
        <w:t xml:space="preserve"> 521 So.2d 1298 (Ala. 1987)</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Lee v. Med. Protective Co.</w:t>
      </w:r>
      <w:r>
        <w:rPr>
          <w:rFonts w:ascii="Times New Roman" w:hAnsi="Times New Roman" w:cs="Times New Roman"/>
        </w:rPr>
        <w:t>, 858 F. Supp.2d 803 (E.D. Ky. 2012)</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Long v. Century Indemnity Co.,</w:t>
      </w:r>
      <w:r>
        <w:rPr>
          <w:rFonts w:ascii="Times New Roman" w:hAnsi="Times New Roman" w:cs="Times New Roman"/>
        </w:rPr>
        <w:t xml:space="preserve"> 163 Cal.App.4th 1460 (2008)</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Lusk v. Imperial Cas.&amp; Indem. Co.</w:t>
      </w:r>
      <w:r>
        <w:rPr>
          <w:rFonts w:ascii="Times New Roman" w:hAnsi="Times New Roman" w:cs="Times New Roman"/>
        </w:rPr>
        <w:t>, 78 Ohio App.3d 11 (1992)</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b/>
        <w:t>M</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Maryland Cas. Co. v. Peppers</w:t>
      </w:r>
      <w:r>
        <w:rPr>
          <w:rFonts w:ascii="Times New Roman" w:hAnsi="Times New Roman" w:cs="Times New Roman"/>
        </w:rPr>
        <w:t>, 64 Ill.2d 187, 355 N.E.2d 24, 31 (1976)</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McGee v. Superior Court,</w:t>
      </w:r>
      <w:r>
        <w:rPr>
          <w:rFonts w:ascii="Times New Roman" w:hAnsi="Times New Roman" w:cs="Times New Roman"/>
        </w:rPr>
        <w:t xml:space="preserve"> 176 Cal.App.3d 221 (1985)</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Med. Protective Co. of Fort Wayne, Ind. v. Davis</w:t>
      </w:r>
      <w:r>
        <w:rPr>
          <w:rFonts w:ascii="Times New Roman" w:hAnsi="Times New Roman" w:cs="Times New Roman"/>
        </w:rPr>
        <w:t>, 581 S.W.2d 25 (Ky. 1979)</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Mid-Century Ins. Co. v. McKelvey,</w:t>
      </w:r>
      <w:r>
        <w:rPr>
          <w:rFonts w:ascii="Times New Roman" w:hAnsi="Times New Roman" w:cs="Times New Roman"/>
        </w:rPr>
        <w:t xml:space="preserve"> 666 S.W.2d 457 (Mo. 1984)</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Missionaries of the Co. of Mary v. Aetna Cas. and Sur. Co.,</w:t>
      </w:r>
      <w:r>
        <w:rPr>
          <w:rFonts w:ascii="Times New Roman" w:hAnsi="Times New Roman" w:cs="Times New Roman"/>
        </w:rPr>
        <w:t xml:space="preserve"> 155 Conn. 104 (1967)</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Moeller v. American Guar. &amp; Liab. Ins. Co.,</w:t>
      </w:r>
      <w:r>
        <w:rPr>
          <w:rFonts w:ascii="Times New Roman" w:hAnsi="Times New Roman" w:cs="Times New Roman"/>
        </w:rPr>
        <w:t xml:space="preserve"> 707 So.2d 1062 (Miss. 1996)</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Montrose Chemical Corp. v. Superior Court,</w:t>
      </w:r>
      <w:r>
        <w:rPr>
          <w:rFonts w:ascii="Times New Roman" w:hAnsi="Times New Roman" w:cs="Times New Roman"/>
        </w:rPr>
        <w:t xml:space="preserve"> 6 Cal.4th 287 (1993)</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Montrose Chemical Corp. v. Superior Court,</w:t>
      </w:r>
      <w:r>
        <w:rPr>
          <w:rFonts w:ascii="Times New Roman" w:hAnsi="Times New Roman" w:cs="Times New Roman"/>
        </w:rPr>
        <w:t xml:space="preserve"> 25 Cal.App.4th 902 (1994)</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Mutual Service Cas. Ins. Co. v. Luetmer</w:t>
      </w:r>
      <w:r>
        <w:rPr>
          <w:rFonts w:ascii="Times New Roman" w:hAnsi="Times New Roman" w:cs="Times New Roman"/>
        </w:rPr>
        <w:t>, 474 N.W.2d 365 (Minn. Ct. App. 1991)</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ab/>
        <w:t>N</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Nandorf, Inc. v. CNA Ins. Co.</w:t>
      </w:r>
      <w:r>
        <w:rPr>
          <w:rFonts w:ascii="Times New Roman" w:hAnsi="Times New Roman" w:cs="Times New Roman"/>
        </w:rPr>
        <w:t xml:space="preserve"> 134 Ill. App.3d 134, 140, 479 N.E.2d 988 (1985)</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 xml:space="preserve">National Mortg. Corp. v. American Title Ins. Co., </w:t>
      </w:r>
      <w:r>
        <w:rPr>
          <w:rFonts w:ascii="Times New Roman" w:hAnsi="Times New Roman" w:cs="Times New Roman"/>
        </w:rPr>
        <w:t>41 N.C. App. 613, 255 S.E.2d 622 (1979)</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National Union Fire Ins. Co. v. Standard Fusee Corp</w:t>
      </w:r>
      <w:r>
        <w:rPr>
          <w:rFonts w:ascii="Times New Roman" w:hAnsi="Times New Roman" w:cs="Times New Roman"/>
        </w:rPr>
        <w:t>., 917 N.E.2d 170 (Ind. 2009)</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New York State Urban Development Corp. v. VSL Corp.,</w:t>
      </w:r>
      <w:r>
        <w:rPr>
          <w:rFonts w:ascii="Times New Roman" w:hAnsi="Times New Roman" w:cs="Times New Roman"/>
        </w:rPr>
        <w:t xml:space="preserve"> 738 F.2d 61 (2nd Cir. 1984) (N.Y. law)</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Nisson v. Am. Home Assur. Co.</w:t>
      </w:r>
      <w:r>
        <w:rPr>
          <w:rFonts w:ascii="Times New Roman" w:hAnsi="Times New Roman" w:cs="Times New Roman"/>
        </w:rPr>
        <w:t>, 917 P.2d 488 (Okla. 1996)</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Norman v. Ins. Co. of North Amer.</w:t>
      </w:r>
      <w:r>
        <w:rPr>
          <w:rFonts w:ascii="Times New Roman" w:hAnsi="Times New Roman" w:cs="Times New Roman"/>
        </w:rPr>
        <w:t>, 218 Va. 718, 239 S.E.2d 902 (1978)</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Northern County Mut. Ins. Co. v. Davalos</w:t>
      </w:r>
      <w:r>
        <w:rPr>
          <w:rFonts w:ascii="Times New Roman" w:hAnsi="Times New Roman" w:cs="Times New Roman"/>
        </w:rPr>
        <w:t>, 140 S.W.3d 685 (Tex. 2004)</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Northern Sec. Ins. Co., Inc. v. R.H. Realty Trust</w:t>
      </w:r>
      <w:r>
        <w:rPr>
          <w:rFonts w:ascii="Times New Roman" w:hAnsi="Times New Roman" w:cs="Times New Roman"/>
        </w:rPr>
        <w:t>, 78 Mass. App. Ct. 691, 941 N.E.2d 688 (2011)</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Northland Ins. Co. v. Heck’s Service Co., Inc.,</w:t>
      </w:r>
      <w:r>
        <w:rPr>
          <w:rFonts w:ascii="Times New Roman" w:hAnsi="Times New Roman" w:cs="Times New Roman"/>
        </w:rPr>
        <w:t xml:space="preserve"> 620 F.Supp. 107 (D.C. Ark.1985)</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Novak v. Low, Ball &amp; Lynch,</w:t>
      </w:r>
      <w:r>
        <w:rPr>
          <w:rFonts w:ascii="Times New Roman" w:hAnsi="Times New Roman" w:cs="Times New Roman"/>
        </w:rPr>
        <w:t xml:space="preserve"> 77 Cal.App.4th 278 (1999)</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b/>
        <w:t>O</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O’Connell v. Home Ins. Co.</w:t>
      </w:r>
      <w:r>
        <w:rPr>
          <w:rFonts w:ascii="Times New Roman" w:hAnsi="Times New Roman" w:cs="Times New Roman"/>
        </w:rPr>
        <w:t>, CIV. A. No. 88-3523, 1990 WL 137386 (D.D.C. 1990)</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Outdoor Venture Corp. v. Philadelphia Indem. Ins. Co.</w:t>
      </w:r>
      <w:r>
        <w:rPr>
          <w:rFonts w:ascii="Times New Roman" w:hAnsi="Times New Roman" w:cs="Times New Roman"/>
        </w:rPr>
        <w:t xml:space="preserve"> (6:16-cv-182-KKC, E.D.Ken. 2018)</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b/>
        <w:t>P</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Parsons v. Continental National American Group</w:t>
      </w:r>
      <w:r>
        <w:rPr>
          <w:rFonts w:ascii="Times New Roman" w:hAnsi="Times New Roman" w:cs="Times New Roman"/>
        </w:rPr>
        <w:t>, 113 Ariz. 223 (1976)</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Partain v. Mid-Continent Spec. Ins. Serv</w:t>
      </w:r>
      <w:r>
        <w:rPr>
          <w:rFonts w:ascii="Times New Roman" w:hAnsi="Times New Roman" w:cs="Times New Roman"/>
        </w:rPr>
        <w:t>., 838 F.Supp.2d 547 (S.D. Tex. 2012)</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Patrons Mut. Ins. Ass’n v. Harmon</w:t>
      </w:r>
      <w:r>
        <w:rPr>
          <w:rFonts w:ascii="Times New Roman" w:hAnsi="Times New Roman" w:cs="Times New Roman"/>
        </w:rPr>
        <w:t>, 240 Kan. 707, 732 P.2d 741 (1987)</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Patrons Oxford Ins. Co. v. Harris</w:t>
      </w:r>
      <w:r>
        <w:rPr>
          <w:rFonts w:ascii="Times New Roman" w:hAnsi="Times New Roman" w:cs="Times New Roman"/>
        </w:rPr>
        <w:t>, 905 A.2d 819 (Me. 2006)</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Pennbank v. St. Paul Fire &amp; Marine Ins. Co.</w:t>
      </w:r>
      <w:r>
        <w:rPr>
          <w:rFonts w:ascii="Times New Roman" w:hAnsi="Times New Roman" w:cs="Times New Roman"/>
        </w:rPr>
        <w:t xml:space="preserve"> 669 F.Supp. 122 (1987)</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Pharmacists Mut. Ins. Co. v. Myer</w:t>
      </w:r>
      <w:r>
        <w:rPr>
          <w:rFonts w:ascii="Times New Roman" w:hAnsi="Times New Roman" w:cs="Times New Roman"/>
        </w:rPr>
        <w:t>, 187 Vt. 323, 993 A.2d 413 (2010)</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Prashker v. United States Guar. Co.,</w:t>
      </w:r>
      <w:r>
        <w:rPr>
          <w:rFonts w:ascii="Times New Roman" w:hAnsi="Times New Roman" w:cs="Times New Roman"/>
        </w:rPr>
        <w:t xml:space="preserve"> 1 N.Y.2d 584 (1956)</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Pub. Serv. Mut. Ins. Co. v. Goldfarb</w:t>
      </w:r>
      <w:r>
        <w:rPr>
          <w:rFonts w:ascii="Times New Roman" w:hAnsi="Times New Roman" w:cs="Times New Roman"/>
        </w:rPr>
        <w:t>, 425 N.E.2d 810, 53 N.Y.2d 392, 401 (1981)</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Pueblo Santa Fe v. Transcont’l Ins. Co.,</w:t>
      </w:r>
      <w:r>
        <w:rPr>
          <w:rFonts w:ascii="Times New Roman" w:hAnsi="Times New Roman" w:cs="Times New Roman"/>
        </w:rPr>
        <w:t xml:space="preserve"> 178 P.3d 485 (Ariz. 2008)</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b/>
        <w:t>R</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Rector v. Amer. Nat’l Fire Ins. Co.,</w:t>
      </w:r>
      <w:r>
        <w:rPr>
          <w:rFonts w:ascii="Times New Roman" w:hAnsi="Times New Roman" w:cs="Times New Roman"/>
        </w:rPr>
        <w:t xml:space="preserve"> No. Civ.A. 00-2806 (E.D. Pa. 2002)</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Red Head Brass, Inc. v. Buckeye Union Ins. Co.</w:t>
      </w:r>
      <w:r>
        <w:rPr>
          <w:rFonts w:ascii="Times New Roman" w:hAnsi="Times New Roman" w:cs="Times New Roman"/>
        </w:rPr>
        <w:t>, 135 Ohio App.3d 616, 735 N.E.2d 48 (1999)</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Rhodes v. Chicago Ins. Co.,</w:t>
      </w:r>
      <w:r>
        <w:rPr>
          <w:rFonts w:ascii="Times New Roman" w:hAnsi="Times New Roman" w:cs="Times New Roman"/>
        </w:rPr>
        <w:t xml:space="preserve"> 719 F.2d 116 (5th Cir. 1983) (Texas law)</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b/>
        <w:t>S</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San Diego Navy Fed. Credit Union v. Cumis Ins. Society, Inc.</w:t>
      </w:r>
      <w:r>
        <w:rPr>
          <w:rFonts w:ascii="Times New Roman" w:hAnsi="Times New Roman" w:cs="Times New Roman"/>
        </w:rPr>
        <w:t>, 162 Cal.App.3d 358 (1984)</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Santa Clara County Counsel Attorneys Assn. v. Woodside</w:t>
      </w:r>
      <w:r>
        <w:rPr>
          <w:rFonts w:ascii="Times New Roman" w:hAnsi="Times New Roman" w:cs="Times New Roman"/>
        </w:rPr>
        <w:t>, 7 Cal.4th 525 (1994)</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Spindle v. Chubb/Pacific Indemnity Group</w:t>
      </w:r>
      <w:r>
        <w:rPr>
          <w:rFonts w:ascii="Times New Roman" w:hAnsi="Times New Roman" w:cs="Times New Roman"/>
        </w:rPr>
        <w:t>, 89 Cal.App.3d 706 (1979)</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 xml:space="preserve">St. Paul Fire and Marine Ins. Co. v. Engelmann, </w:t>
      </w:r>
      <w:r>
        <w:rPr>
          <w:rFonts w:ascii="Times New Roman" w:hAnsi="Times New Roman" w:cs="Times New Roman"/>
        </w:rPr>
        <w:t>639 N.W.2d 192 (S.D. 2002)</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St. Paul Fire &amp; Marine v. Roach Bros</w:t>
      </w:r>
      <w:r>
        <w:rPr>
          <w:rFonts w:ascii="Times New Roman" w:hAnsi="Times New Roman" w:cs="Times New Roman"/>
        </w:rPr>
        <w:t>., 639 F. Supp. 134 (E.D. Pa. 1986)</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 xml:space="preserve">St. Paul Fire &amp; Marine Ins. Co. v. Thompson, </w:t>
      </w:r>
      <w:r>
        <w:rPr>
          <w:rFonts w:ascii="Times New Roman" w:hAnsi="Times New Roman" w:cs="Times New Roman"/>
        </w:rPr>
        <w:t>433 P.2d 795 (Mont. 1967)</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State Farm Fire &amp; Cas. Co. v. Superior Court</w:t>
      </w:r>
      <w:r>
        <w:rPr>
          <w:rFonts w:ascii="Times New Roman" w:hAnsi="Times New Roman" w:cs="Times New Roman"/>
        </w:rPr>
        <w:t>, 216 Cal.App.3d 1222 (1989)</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 xml:space="preserve">State Farm Mut. Auto. Ins. Co. v. Hansen, </w:t>
      </w:r>
      <w:r>
        <w:rPr>
          <w:rFonts w:ascii="Times New Roman" w:hAnsi="Times New Roman" w:cs="Times New Roman"/>
        </w:rPr>
        <w:t>131 Nev. Adv. Op. 74 (2015)</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b/>
        <w:t>T</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Tank v. State Farm Fire &amp; Cas. Co.</w:t>
      </w:r>
      <w:r>
        <w:rPr>
          <w:rFonts w:ascii="Times New Roman" w:hAnsi="Times New Roman" w:cs="Times New Roman"/>
        </w:rPr>
        <w:t>, 105 Wash.2d 381, 715 P.2d 1133 (1986)</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Taylor v. Safeco Ins. Co.</w:t>
      </w:r>
      <w:r>
        <w:rPr>
          <w:rFonts w:ascii="Times New Roman" w:hAnsi="Times New Roman" w:cs="Times New Roman"/>
        </w:rPr>
        <w:t>, 361 So.2d 743 (Fla. 1978)</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Three Sons, Inc. v. Phoenix Ins. Co.,</w:t>
      </w:r>
      <w:r>
        <w:rPr>
          <w:rFonts w:ascii="Times New Roman" w:hAnsi="Times New Roman" w:cs="Times New Roman"/>
        </w:rPr>
        <w:t xml:space="preserve"> 357 Mass. 271, 257 N.E.2d 774 (1970)</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Travelers Indem. Co. v. Dingwell,</w:t>
      </w:r>
      <w:r>
        <w:rPr>
          <w:rFonts w:ascii="Times New Roman" w:hAnsi="Times New Roman" w:cs="Times New Roman"/>
        </w:rPr>
        <w:t xml:space="preserve"> 884 F.2d 629 (1st Cir. 1989) (Maine law)</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Travelers Indem. Co. of Ill. v. Royal Oak Enterprises, Inc.</w:t>
      </w:r>
      <w:r>
        <w:rPr>
          <w:rFonts w:ascii="Times New Roman" w:hAnsi="Times New Roman" w:cs="Times New Roman"/>
        </w:rPr>
        <w:t xml:space="preserve"> 429 F.Supp.2d 1265 (Fla. 2004)</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Truck Ins. Exch. v. Prairie Framing, LLC</w:t>
      </w:r>
      <w:r>
        <w:rPr>
          <w:rFonts w:ascii="Times New Roman" w:hAnsi="Times New Roman" w:cs="Times New Roman"/>
        </w:rPr>
        <w:t>, 162 S.W.3d 64 (Mo. 2005)</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 xml:space="preserve">Twin City Fire Ins. Co. v. Ben Arnold-Sunbelt Beverage Co., </w:t>
      </w:r>
      <w:r>
        <w:rPr>
          <w:rFonts w:ascii="Times New Roman" w:hAnsi="Times New Roman" w:cs="Times New Roman"/>
        </w:rPr>
        <w:t>336 F. Supp.2d 610 (D.S.C. 2004)</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b/>
        <w:t>U</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Union Ins. Co. v. Knife Co., Inc.,</w:t>
      </w:r>
      <w:r>
        <w:rPr>
          <w:rFonts w:ascii="Times New Roman" w:hAnsi="Times New Roman" w:cs="Times New Roman"/>
        </w:rPr>
        <w:t xml:space="preserve"> 902 F. Supp. 877 (W.D. Ark. 1995)</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United Enterprises, Inc. v. Superior Court</w:t>
      </w:r>
      <w:r>
        <w:rPr>
          <w:rFonts w:ascii="Times New Roman" w:hAnsi="Times New Roman" w:cs="Times New Roman"/>
        </w:rPr>
        <w:t>, 183 Cal. App.4th 1004 (2010)</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United Services Automobile Association v. Morris,</w:t>
      </w:r>
      <w:r>
        <w:rPr>
          <w:rFonts w:ascii="Times New Roman" w:hAnsi="Times New Roman" w:cs="Times New Roman"/>
        </w:rPr>
        <w:t xml:space="preserve"> 154 Ariz. 113, 741 P.2d 246 (1987)</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Univ. of Miami v. Great American Assur. Co.</w:t>
      </w:r>
      <w:r>
        <w:rPr>
          <w:rFonts w:ascii="Times New Roman" w:hAnsi="Times New Roman" w:cs="Times New Roman"/>
        </w:rPr>
        <w:t>, 112 So.3d 504 (Fla. 2013)</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U.S. Fid. &amp; Guar. Co. v. Louis A. Rosen Co.,</w:t>
      </w:r>
      <w:r>
        <w:rPr>
          <w:rFonts w:ascii="Times New Roman" w:hAnsi="Times New Roman" w:cs="Times New Roman"/>
        </w:rPr>
        <w:t xml:space="preserve"> 585 F.2d 932 (8th Cir.1978) (Utah or Minn. law)</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U.S. Specialty Ins. Co. v. Burd</w:t>
      </w:r>
      <w:r>
        <w:rPr>
          <w:rFonts w:ascii="Times New Roman" w:hAnsi="Times New Roman" w:cs="Times New Roman"/>
        </w:rPr>
        <w:t>, 833 F. Supp.2d 1348 (M.D. Fla. 2011)</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b/>
        <w:t>W</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Water Well Sols. Serv. Grp. Inc. v. Consolidated Ins</w:t>
      </w:r>
      <w:r>
        <w:rPr>
          <w:rFonts w:ascii="Times New Roman" w:hAnsi="Times New Roman" w:cs="Times New Roman"/>
        </w:rPr>
        <w:t>., 369 Wis. 2d 607, 881 N.W.2d 285, 296 (2016)</w:t>
      </w:r>
    </w:p>
    <w:p>
      <w:pPr>
        <w:tabs>
          <w:tab w:val="left" w:pos="-1428"/>
          <w:tab w:val="left" w:pos="-720"/>
          <w:tab w:val="left" w:pos="0"/>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i/>
        </w:rPr>
        <w:t>Weitz Co., LLC v. Ohio Cas. Ins. Co.</w:t>
      </w:r>
      <w:r>
        <w:rPr>
          <w:rFonts w:ascii="Times New Roman" w:hAnsi="Times New Roman" w:cs="Times New Roman"/>
        </w:rPr>
        <w:t>, No. 11-cv-00694, 2011 WL 2535040 (D. Colo. 2011)</w:t>
      </w:r>
    </w:p>
    <w:sectPr>
      <w:headerReference w:type="even" r:id="rId17"/>
      <w:headerReference w:type="default" r:id="rId18"/>
      <w:footerReference w:type="even" r:id="rId19"/>
      <w:footerReference w:type="default" r:id="rId20"/>
      <w:endnotePr>
        <w:numFmt w:val="decimal"/>
      </w:endnotePr>
      <w:type w:val="continuous"/>
      <w:pgSz w:w="12240" w:h="15840"/>
      <w:pgMar w:top="1920" w:right="1440" w:bottom="1290" w:left="1440" w:header="1440" w:footer="810" w:gutter="0"/>
      <w:cols w:space="72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2"/>
    <w:family w:val="roman"/>
    <w:pitch w:val="variable"/>
    <w:sig w:usb0="00000000" w:usb1="00000000" w:usb2="00000000" w:usb3="00000000" w:csb0="80000000"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9360" w:h="280" w:hRule="exact" w:wrap="notBeside" w:vAnchor="page" w:xAlign="left" w:y="14742"/>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textDirection w:val="lrTb"/>
      <w:rPr>
        <w:rFonts w:ascii="Times New Roman" w:hAnsi="Times New Roman" w:cs="Times New Roman"/>
        <w:vanish/>
      </w:rPr>
    </w:pPr>
    <w:r>
      <w:rPr>
        <w:rFonts w:ascii="Times New Roman" w:hAnsi="Times New Roman" w:cs="Times New Roman"/>
        <w:color w:val="000000"/>
      </w:rPr>
      <w:t>-</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Pr>
        <w:rFonts w:ascii="Times New Roman" w:hAnsi="Times New Roman" w:cs="Times New Roman"/>
        <w:color w:val="000000"/>
      </w:rPr>
      <w:t>XXX</w:t>
    </w:r>
    <w:r>
      <w:rPr>
        <w:rFonts w:ascii="Times New Roman" w:hAnsi="Times New Roman" w:cs="Times New Roman"/>
        <w:color w:val="000000"/>
      </w:rPr>
      <w:fldChar w:fldCharType="end"/>
    </w:r>
    <w:r>
      <w:rPr>
        <w:rFonts w:ascii="Times New Roman" w:hAnsi="Times New Roman" w:cs="Times New Roman"/>
        <w:color w:val="000000"/>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9360" w:h="280" w:hRule="exact" w:wrap="notBeside" w:vAnchor="page" w:xAlign="left" w:y="14742"/>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textDirection w:val="lrTb"/>
      <w:rPr>
        <w:rFonts w:ascii="Times New Roman" w:hAnsi="Times New Roman" w:cs="Times New Roman"/>
        <w:vanish/>
      </w:rPr>
    </w:pPr>
    <w:r>
      <w:rPr>
        <w:rFonts w:ascii="Times New Roman" w:hAnsi="Times New Roman" w:cs="Times New Roman"/>
        <w:color w:val="000000"/>
      </w:rPr>
      <w:t>-</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Pr>
        <w:rFonts w:ascii="Times New Roman" w:hAnsi="Times New Roman" w:cs="Times New Roman"/>
        <w:color w:val="000000"/>
      </w:rPr>
      <w:t>XXX</w:t>
    </w:r>
    <w:r>
      <w:rPr>
        <w:rFonts w:ascii="Times New Roman" w:hAnsi="Times New Roman" w:cs="Times New Roman"/>
        <w:color w:val="000000"/>
      </w:rPr>
      <w:fldChar w:fldCharType="end"/>
    </w:r>
    <w:r>
      <w:rPr>
        <w:rFonts w:ascii="Times New Roman" w:hAnsi="Times New Roman" w:cs="Times New Roman"/>
        <w:color w:val="000000"/>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9360" w:h="280" w:hRule="exact" w:wrap="notBeside" w:vAnchor="page" w:xAlign="left" w:y="14742"/>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textDirection w:val="lrTb"/>
      <w:rPr>
        <w:rFonts w:ascii="Times New Roman" w:hAnsi="Times New Roman" w:cs="Times New Roman"/>
        <w:vanish/>
      </w:rPr>
    </w:pPr>
    <w:r>
      <w:rPr>
        <w:rFonts w:ascii="Times New Roman" w:hAnsi="Times New Roman" w:cs="Times New Roman"/>
        <w:color w:val="000000"/>
      </w:rPr>
      <w:t>-</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Pr>
        <w:rFonts w:ascii="Times New Roman" w:hAnsi="Times New Roman" w:cs="Times New Roman"/>
        <w:color w:val="000000"/>
      </w:rPr>
      <w:t>XXX</w:t>
    </w:r>
    <w:r>
      <w:rPr>
        <w:rFonts w:ascii="Times New Roman" w:hAnsi="Times New Roman" w:cs="Times New Roman"/>
        <w:color w:val="000000"/>
      </w:rPr>
      <w:fldChar w:fldCharType="end"/>
    </w:r>
    <w:r>
      <w:rPr>
        <w:rFonts w:ascii="Times New Roman" w:hAnsi="Times New Roman" w:cs="Times New Roman"/>
        <w:color w:val="000000"/>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9360" w:h="280" w:hRule="exact" w:wrap="notBeside" w:vAnchor="page" w:xAlign="left" w:y="14742"/>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textDirection w:val="lrTb"/>
      <w:rPr>
        <w:rFonts w:ascii="Times New Roman" w:hAnsi="Times New Roman" w:cs="Times New Roman"/>
        <w:vanish/>
      </w:rPr>
    </w:pPr>
    <w:r>
      <w:rPr>
        <w:rFonts w:ascii="Times New Roman" w:hAnsi="Times New Roman" w:cs="Times New Roman"/>
        <w:color w:val="000000"/>
      </w:rPr>
      <w:t>-</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Pr>
        <w:rFonts w:ascii="Times New Roman" w:hAnsi="Times New Roman" w:cs="Times New Roman"/>
        <w:color w:val="000000"/>
      </w:rPr>
      <w:t>XXX</w:t>
    </w:r>
    <w:r>
      <w:rPr>
        <w:rFonts w:ascii="Times New Roman" w:hAnsi="Times New Roman" w:cs="Times New Roman"/>
        <w:color w:val="000000"/>
      </w:rPr>
      <w:fldChar w:fldCharType="end"/>
    </w:r>
    <w:r>
      <w:rPr>
        <w:rFonts w:ascii="Times New Roman" w:hAnsi="Times New Roman" w:cs="Times New Roman"/>
        <w:color w:val="000000"/>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9360" w:h="280" w:hRule="exact" w:wrap="notBeside" w:vAnchor="page" w:xAlign="left" w:y="14742"/>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textDirection w:val="lrTb"/>
      <w:rPr>
        <w:rFonts w:ascii="Times New Roman" w:hAnsi="Times New Roman" w:cs="Times New Roman"/>
        <w:vanish/>
      </w:rPr>
    </w:pPr>
    <w:r>
      <w:rPr>
        <w:rFonts w:ascii="Times New Roman" w:hAnsi="Times New Roman" w:cs="Times New Roman"/>
        <w:color w:val="000000"/>
      </w:rPr>
      <w:t>-</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Pr>
        <w:rFonts w:ascii="Times New Roman" w:hAnsi="Times New Roman" w:cs="Times New Roman"/>
        <w:color w:val="000000"/>
      </w:rPr>
      <w:t>XXX</w:t>
    </w:r>
    <w:r>
      <w:rPr>
        <w:rFonts w:ascii="Times New Roman" w:hAnsi="Times New Roman" w:cs="Times New Roman"/>
        <w:color w:val="000000"/>
      </w:rPr>
      <w:fldChar w:fldCharType="end"/>
    </w:r>
    <w:r>
      <w:rPr>
        <w:rFonts w:ascii="Times New Roman" w:hAnsi="Times New Roman" w:cs="Times New Roman"/>
        <w:color w:val="000000"/>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9360" w:h="280" w:hRule="exact" w:wrap="notBeside" w:vAnchor="page" w:xAlign="left" w:y="14742"/>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textDirection w:val="lrTb"/>
      <w:rPr>
        <w:rFonts w:ascii="Times New Roman" w:hAnsi="Times New Roman" w:cs="Times New Roman"/>
        <w:vanish/>
      </w:rPr>
    </w:pPr>
    <w:r>
      <w:rPr>
        <w:rFonts w:ascii="Times New Roman" w:hAnsi="Times New Roman" w:cs="Times New Roman"/>
        <w:color w:val="000000"/>
      </w:rPr>
      <w:t>-</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Pr>
        <w:rFonts w:ascii="Times New Roman" w:hAnsi="Times New Roman" w:cs="Times New Roman"/>
        <w:color w:val="000000"/>
      </w:rPr>
      <w:t>XXX</w:t>
    </w:r>
    <w:r>
      <w:rPr>
        <w:rFonts w:ascii="Times New Roman" w:hAnsi="Times New Roman" w:cs="Times New Roman"/>
        <w:color w:val="000000"/>
      </w:rPr>
      <w:fldChar w:fldCharType="end"/>
    </w:r>
    <w:r>
      <w:rPr>
        <w:rFonts w:ascii="Times New Roman" w:hAnsi="Times New Roman" w:cs="Times New Roman"/>
        <w:color w:val="000000"/>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9360" w:h="280" w:hRule="exact" w:wrap="notBeside" w:vAnchor="page" w:xAlign="left" w:y="14742"/>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textDirection w:val="lrTb"/>
      <w:rPr>
        <w:rFonts w:ascii="Times New Roman" w:hAnsi="Times New Roman" w:cs="Times New Roman"/>
        <w:vanish/>
      </w:rPr>
    </w:pPr>
    <w:r>
      <w:rPr>
        <w:rFonts w:ascii="Times New Roman" w:hAnsi="Times New Roman" w:cs="Times New Roman"/>
        <w:color w:val="000000"/>
      </w:rPr>
      <w:t>-</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Pr>
        <w:rFonts w:ascii="Times New Roman" w:hAnsi="Times New Roman" w:cs="Times New Roman"/>
        <w:color w:val="000000"/>
      </w:rPr>
      <w:t>XXX</w:t>
    </w:r>
    <w:r>
      <w:rPr>
        <w:rFonts w:ascii="Times New Roman" w:hAnsi="Times New Roman" w:cs="Times New Roman"/>
        <w:color w:val="000000"/>
      </w:rPr>
      <w:fldChar w:fldCharType="end"/>
    </w:r>
    <w:r>
      <w:rPr>
        <w:rFonts w:ascii="Times New Roman" w:hAnsi="Times New Roman" w:cs="Times New Roman"/>
        <w:color w:val="000000"/>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9360" w:h="280" w:hRule="exact" w:wrap="notBeside" w:vAnchor="page" w:xAlign="left" w:y="14742"/>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textDirection w:val="lrTb"/>
      <w:rPr>
        <w:rFonts w:ascii="Times New Roman" w:hAnsi="Times New Roman" w:cs="Times New Roman"/>
        <w:vanish/>
      </w:rPr>
    </w:pPr>
    <w:r>
      <w:rPr>
        <w:rFonts w:ascii="Times New Roman" w:hAnsi="Times New Roman" w:cs="Times New Roman"/>
        <w:color w:val="000000"/>
      </w:rPr>
      <w:t>-</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Pr>
        <w:rFonts w:ascii="Times New Roman" w:hAnsi="Times New Roman" w:cs="Times New Roman"/>
        <w:color w:val="000000"/>
      </w:rPr>
      <w:t>XXX</w:t>
    </w:r>
    <w:r>
      <w:rPr>
        <w:rFonts w:ascii="Times New Roman" w:hAnsi="Times New Roman" w:cs="Times New Roman"/>
        <w:color w:val="000000"/>
      </w:rPr>
      <w:fldChar w:fldCharType="end"/>
    </w:r>
    <w:r>
      <w:rPr>
        <w:rFonts w:ascii="Times New Roman" w:hAnsi="Times New Roman" w:cs="Times New Roman"/>
        <w:color w:val="000000"/>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Several scholarly 50 State surveys address statutory and common law requirements that a liability insurer pay for independent counsel when an insurer’s reservation of rights creates either insurer conflicts of interest or lawyer ethical conflicts for insurer appointed counsel. All of these other surveys collect most of the same cases. This survey is different in that it is continuously being updated and to the greatest extent possible, this survey expresses the decisions in the various jurisdictions in the language of the courts, rather than expressing the author’s interpretation of the law. The other surveys include: </w:t>
      </w:r>
      <w:r>
        <w:rPr>
          <w:rFonts w:ascii="Times New Roman" w:hAnsi="Times New Roman" w:cs="Times New Roman"/>
          <w:b/>
        </w:rPr>
        <w:t xml:space="preserve">Independent Defense Counsel: When Can The Policyholder Select Its Own Defense Lawyer and How Much Does the Insurer Have to Pay? A 50-State Survey </w:t>
      </w:r>
      <w:r>
        <w:rPr>
          <w:rFonts w:ascii="Times New Roman" w:hAnsi="Times New Roman" w:cs="Times New Roman"/>
        </w:rPr>
        <w:t xml:space="preserve">(http://www.americanbar.org/content/dam/aba/administrative/litigation/materials/2014_inscle_materials/written_materials/p3_2_independent_defense_counsel_50_state.authcheckdam.pdf) </w:t>
      </w:r>
      <w:r>
        <w:rPr>
          <w:rFonts w:ascii="Times New Roman" w:hAnsi="Times New Roman" w:cs="Times New Roman"/>
          <w:b/>
        </w:rPr>
        <w:t>Duty to Provide Independent Counsel: A 50-State Survey</w:t>
      </w:r>
      <w:r>
        <w:rPr>
          <w:rFonts w:ascii="Times New Roman" w:hAnsi="Times New Roman" w:cs="Times New Roman"/>
        </w:rPr>
        <w:t xml:space="preserve"> (2009) (http://www.tresslerllp.com/files/Publication/0e7da0e2-9d2c-4f3d-9888-eb641366e828/Preview/PublicationAttachment/f72aad8a-0ff0-4034-828a-07884c70d338/50-State%20Survey_Duty%20to%20Provide%20Independent%20Counsel%20(Bondi%20Morrison)%202012.pdf) </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Reservation of Rights: Disclaimer letters, Non-waiver agreements, 50 State Survey, 2011</w:t>
      </w:r>
      <w:r>
        <w:rPr>
          <w:rFonts w:ascii="Times New Roman" w:hAnsi="Times New Roman" w:cs="Times New Roman"/>
        </w:rPr>
        <w:t xml:space="preserve"> (http://www.munichreamerica.com/site/mram/get/documents_E-759630968/mram/assetpool.mr_america/PDFs/3_Publications/reservation_of_rights_2011.pdf)</w:t>
      </w:r>
    </w:p>
  </w:footnote>
  <w:footnote w:id="1">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The phrase “</w:t>
      </w:r>
      <w:r>
        <w:rPr>
          <w:rFonts w:ascii="Times New Roman" w:hAnsi="Times New Roman" w:cs="Times New Roman"/>
          <w:b/>
        </w:rPr>
        <w:t>de</w:t>
      </w:r>
      <w:r>
        <w:rPr>
          <w:rFonts w:ascii="Times New Roman" w:hAnsi="Times New Roman" w:cs="Times New Roman"/>
        </w:rPr>
        <w:t>pendent counsel” describes lawyers who are regularly selected and directed by a reserving insurer who owe fiduciary duties to both the policyholder and the insurer who are variously called “panel counsel”, “appointed counsel”, and “insurance defense counsel.” The counterpart to dependent counsel are “</w:t>
      </w:r>
      <w:r>
        <w:rPr>
          <w:rFonts w:ascii="Times New Roman" w:hAnsi="Times New Roman" w:cs="Times New Roman"/>
          <w:b/>
        </w:rPr>
        <w:t>in</w:t>
      </w:r>
      <w:r>
        <w:rPr>
          <w:rFonts w:ascii="Times New Roman" w:hAnsi="Times New Roman" w:cs="Times New Roman"/>
        </w:rPr>
        <w:t>dependent counsel”, lawyers selected and directed by and loyal to only the policyholder.</w:t>
      </w:r>
    </w:p>
  </w:footnote>
  <w:footnote w:id="2">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See, Los Angeles Lawyer, November, 2020 (“The Cumis Canon” for a discussion of possible consequences called “Cumis Teeth”.</w:t>
      </w:r>
    </w:p>
  </w:footnote>
  <w:footnote w:id="3">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For more, see DutytoDefend.com.</w:t>
      </w:r>
    </w:p>
  </w:footnote>
  <w:footnote w:id="4">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For model pleadings, see DutytoDefend.com.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efaultTabStop w:val="720"/>
  <w:doNotHyphenateCaps/>
  <w:evenAndOddHeaders/>
  <w:displayHorizontalDrawingGridEvery w:val="0"/>
  <w:doNotShadeFormData/>
  <w:noPunctuationKerning/>
  <w:characterSpacingControl w:val="doNotCompress"/>
  <w:endnotePr>
    <w:numFmt w:val="decimal"/>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m:mathPr>
    <m:mathFont m:val="Times New Roman"/>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autoSpaceDN/>
      <w:bidi w:val="0"/>
      <w:adjustRightInd/>
      <w:ind w:left="0" w:right="0"/>
      <w:jc w:val="left"/>
      <w:textAlignment w:val="auto"/>
    </w:pPr>
    <w:rPr>
      <w:sz w:val="24"/>
      <w:szCs w:val="20"/>
      <w:rtl w:val="0"/>
      <w:lang w:val="en-US"/>
    </w:rPr>
  </w:style>
  <w:style w:type="character" w:default="1" w:styleId="DefaultParagraphFont">
    <w:name w:val="Default Paragraph Font"/>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left"/>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jc w:val="left"/>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jc w:val="left"/>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jc w:val="left"/>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jc w:val="left"/>
    </w:pPr>
  </w:style>
  <w:style w:type="paragraph" w:customStyle="1" w:styleId="11">
    <w:name w:val="_11"/>
    <w:basedOn w:val="Normal"/>
    <w:pPr>
      <w:tabs>
        <w:tab w:val="left" w:pos="5040"/>
        <w:tab w:val="left" w:pos="5760"/>
        <w:tab w:val="left" w:pos="6480"/>
        <w:tab w:val="left" w:pos="7200"/>
        <w:tab w:val="left" w:pos="7920"/>
        <w:tab w:val="left" w:pos="8640"/>
      </w:tabs>
      <w:ind w:left="5040"/>
      <w:jc w:val="left"/>
    </w:pPr>
  </w:style>
  <w:style w:type="paragraph" w:customStyle="1" w:styleId="10">
    <w:name w:val="_10"/>
    <w:basedOn w:val="Normal"/>
    <w:pPr>
      <w:tabs>
        <w:tab w:val="left" w:pos="5760"/>
        <w:tab w:val="left" w:pos="6480"/>
        <w:tab w:val="left" w:pos="7200"/>
        <w:tab w:val="left" w:pos="7920"/>
        <w:tab w:val="left" w:pos="8640"/>
      </w:tabs>
      <w:ind w:left="5760"/>
      <w:jc w:val="left"/>
    </w:pPr>
  </w:style>
  <w:style w:type="paragraph" w:customStyle="1" w:styleId="Level9">
    <w:name w:val="Level 9"/>
    <w:basedOn w:val="Normal"/>
    <w:pPr>
      <w:jc w:val="left"/>
    </w:pPr>
    <w:rPr>
      <w:b/>
    </w:rPr>
  </w:style>
  <w:style w:type="paragraph" w:customStyle="1" w:styleId="26">
    <w:name w:val="_26"/>
    <w:basedOn w:val="Normal"/>
    <w:pPr>
      <w:jc w:val="left"/>
    </w:pPr>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left"/>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jc w:val="left"/>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jc w:val="left"/>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jc w:val="left"/>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jc w:val="left"/>
    </w:pPr>
  </w:style>
  <w:style w:type="paragraph" w:customStyle="1" w:styleId="20">
    <w:name w:val="_20"/>
    <w:basedOn w:val="Normal"/>
    <w:pPr>
      <w:tabs>
        <w:tab w:val="left" w:pos="5040"/>
        <w:tab w:val="left" w:pos="5760"/>
        <w:tab w:val="left" w:pos="6480"/>
        <w:tab w:val="left" w:pos="7200"/>
        <w:tab w:val="left" w:pos="7920"/>
        <w:tab w:val="left" w:pos="8640"/>
      </w:tabs>
      <w:ind w:left="5040"/>
      <w:jc w:val="left"/>
    </w:pPr>
  </w:style>
  <w:style w:type="paragraph" w:customStyle="1" w:styleId="19">
    <w:name w:val="_19"/>
    <w:basedOn w:val="Normal"/>
    <w:pPr>
      <w:tabs>
        <w:tab w:val="left" w:pos="5760"/>
        <w:tab w:val="left" w:pos="6480"/>
        <w:tab w:val="left" w:pos="7200"/>
        <w:tab w:val="left" w:pos="7920"/>
        <w:tab w:val="left" w:pos="8640"/>
      </w:tabs>
      <w:ind w:left="5760"/>
      <w:jc w:val="left"/>
    </w:pPr>
  </w:style>
  <w:style w:type="paragraph" w:customStyle="1" w:styleId="18">
    <w:name w:val="_18"/>
    <w:basedOn w:val="Normal"/>
    <w:pPr>
      <w:tabs>
        <w:tab w:val="left" w:pos="6480"/>
        <w:tab w:val="left" w:pos="7200"/>
        <w:tab w:val="left" w:pos="7920"/>
        <w:tab w:val="left" w:pos="8640"/>
      </w:tabs>
      <w:ind w:left="6480"/>
      <w:jc w:val="left"/>
    </w:pPr>
  </w:style>
  <w:style w:type="paragraph" w:customStyle="1" w:styleId="9">
    <w:name w:val="_9"/>
    <w:basedOn w:val="Normal"/>
    <w:pPr>
      <w:tabs>
        <w:tab w:val="left" w:pos="6480"/>
        <w:tab w:val="left" w:pos="7200"/>
        <w:tab w:val="left" w:pos="7920"/>
        <w:tab w:val="left" w:pos="8640"/>
      </w:tabs>
      <w:ind w:left="6480"/>
      <w:jc w:val="left"/>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left"/>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jc w:val="left"/>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jc w:val="left"/>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jc w:val="left"/>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jc w:val="left"/>
    </w:pPr>
  </w:style>
  <w:style w:type="paragraph" w:customStyle="1" w:styleId="2">
    <w:name w:val="_2"/>
    <w:basedOn w:val="Normal"/>
    <w:pPr>
      <w:tabs>
        <w:tab w:val="left" w:pos="5040"/>
        <w:tab w:val="left" w:pos="5760"/>
        <w:tab w:val="left" w:pos="6480"/>
        <w:tab w:val="left" w:pos="7200"/>
        <w:tab w:val="left" w:pos="7920"/>
        <w:tab w:val="left" w:pos="8640"/>
      </w:tabs>
      <w:ind w:left="5040"/>
      <w:jc w:val="left"/>
    </w:pPr>
  </w:style>
  <w:style w:type="paragraph" w:customStyle="1" w:styleId="1">
    <w:name w:val="_1"/>
    <w:basedOn w:val="Normal"/>
    <w:pPr>
      <w:tabs>
        <w:tab w:val="left" w:pos="5760"/>
        <w:tab w:val="left" w:pos="6480"/>
        <w:tab w:val="left" w:pos="7200"/>
        <w:tab w:val="left" w:pos="7920"/>
        <w:tab w:val="left" w:pos="8640"/>
      </w:tabs>
      <w:ind w:left="5760"/>
      <w:jc w:val="left"/>
    </w:pPr>
  </w:style>
  <w:style w:type="paragraph" w:customStyle="1" w:styleId="a">
    <w:name w:val="_"/>
    <w:basedOn w:val="Normal"/>
    <w:pPr>
      <w:tabs>
        <w:tab w:val="left" w:pos="6480"/>
        <w:tab w:val="left" w:pos="7200"/>
        <w:tab w:val="left" w:pos="7920"/>
        <w:tab w:val="left" w:pos="8640"/>
      </w:tabs>
      <w:ind w:left="6480"/>
      <w:jc w:val="left"/>
    </w:pPr>
  </w:style>
  <w:style w:type="paragraph" w:customStyle="1" w:styleId="WPNormal">
    <w:name w:val="WP_Normal"/>
    <w:basedOn w:val="Normal"/>
    <w:pPr>
      <w:jc w:val="left"/>
    </w:pPr>
  </w:style>
  <w:style w:type="paragraph" w:customStyle="1" w:styleId="DefinitionT">
    <w:name w:val="Definition T"/>
    <w:basedOn w:val="Normal"/>
    <w:pPr>
      <w:jc w:val="left"/>
    </w:pPr>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left"/>
    </w:pPr>
  </w:style>
  <w:style w:type="character" w:customStyle="1" w:styleId="Definition">
    <w:name w:val="Definition"/>
    <w:basedOn w:val="DefaultParagraphFont"/>
    <w:rPr>
      <w:i/>
      <w:rtl w:val="0"/>
    </w:rPr>
  </w:style>
  <w:style w:type="paragraph" w:customStyle="1" w:styleId="H1">
    <w:name w:val="H1"/>
    <w:basedOn w:val="Normal"/>
    <w:pPr>
      <w:jc w:val="left"/>
    </w:pPr>
    <w:rPr>
      <w:b/>
      <w:sz w:val="48"/>
    </w:rPr>
  </w:style>
  <w:style w:type="paragraph" w:customStyle="1" w:styleId="H2">
    <w:name w:val="H2"/>
    <w:basedOn w:val="Normal"/>
    <w:pPr>
      <w:jc w:val="left"/>
    </w:pPr>
    <w:rPr>
      <w:b/>
      <w:sz w:val="36"/>
    </w:rPr>
  </w:style>
  <w:style w:type="paragraph" w:customStyle="1" w:styleId="H3">
    <w:name w:val="H3"/>
    <w:basedOn w:val="Normal"/>
    <w:pPr>
      <w:jc w:val="left"/>
    </w:pPr>
    <w:rPr>
      <w:b/>
      <w:sz w:val="28"/>
    </w:rPr>
  </w:style>
  <w:style w:type="paragraph" w:customStyle="1" w:styleId="H4">
    <w:name w:val="H4"/>
    <w:basedOn w:val="Normal"/>
    <w:pPr>
      <w:jc w:val="left"/>
    </w:pPr>
    <w:rPr>
      <w:b/>
    </w:rPr>
  </w:style>
  <w:style w:type="paragraph" w:customStyle="1" w:styleId="H5">
    <w:name w:val="H5"/>
    <w:basedOn w:val="Normal"/>
    <w:pPr>
      <w:jc w:val="left"/>
    </w:pPr>
    <w:rPr>
      <w:b/>
    </w:rPr>
  </w:style>
  <w:style w:type="paragraph" w:customStyle="1" w:styleId="H6">
    <w:name w:val="H6"/>
    <w:basedOn w:val="Normal"/>
    <w:pPr>
      <w:jc w:val="left"/>
    </w:pPr>
    <w:rPr>
      <w:b/>
      <w:sz w:val="16"/>
    </w:rPr>
  </w:style>
  <w:style w:type="paragraph" w:customStyle="1" w:styleId="Address">
    <w:name w:val="Address"/>
    <w:basedOn w:val="Normal"/>
    <w:pPr>
      <w:jc w:val="left"/>
    </w:pPr>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left"/>
    </w:pPr>
  </w:style>
  <w:style w:type="character" w:customStyle="1" w:styleId="CITE">
    <w:name w:val="CITE"/>
    <w:basedOn w:val="DefaultParagraphFont"/>
    <w:rPr>
      <w:i/>
      <w:rtl w:val="0"/>
    </w:rPr>
  </w:style>
  <w:style w:type="character" w:customStyle="1" w:styleId="CODE">
    <w:name w:val="CODE"/>
    <w:basedOn w:val="DefaultParagraphFont"/>
    <w:rPr>
      <w:rFonts w:ascii="Courier New" w:hAnsi="Courier New"/>
      <w:rtl w:val="0"/>
    </w:rPr>
  </w:style>
  <w:style w:type="character" w:customStyle="1" w:styleId="WPEmphasis">
    <w:name w:val="WP_Emphasis"/>
    <w:basedOn w:val="DefaultParagraphFont"/>
    <w:rPr>
      <w:i/>
      <w:rtl w:val="0"/>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rtl w:val="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jc w:val="left"/>
    </w:pPr>
    <w:rPr>
      <w:rFonts w:ascii="Courier New" w:hAnsi="Courier New"/>
    </w:rPr>
  </w:style>
  <w:style w:type="paragraph" w:customStyle="1" w:styleId="zBottomof">
    <w:name w:val="zBottom of"/>
    <w:basedOn w:val="Normal"/>
    <w:pPr>
      <w:pBdr>
        <w:top w:val="double" w:sz="2" w:space="0" w:color="000000"/>
      </w:pBdr>
      <w:shd w:val="clear" w:color="auto" w:fill="auto"/>
      <w:jc w:val="center"/>
    </w:pPr>
    <w:rPr>
      <w:rFonts w:ascii="Arial" w:hAnsi="Arial"/>
      <w:sz w:val="16"/>
    </w:rPr>
  </w:style>
  <w:style w:type="paragraph" w:customStyle="1" w:styleId="zTopofFor">
    <w:name w:val="zTop of For"/>
    <w:basedOn w:val="Normal"/>
    <w:pPr>
      <w:pBdr>
        <w:bottom w:val="double" w:sz="2" w:space="0" w:color="000000"/>
      </w:pBdr>
      <w:shd w:val="clear" w:color="auto" w:fill="auto"/>
      <w:jc w:val="center"/>
    </w:pPr>
    <w:rPr>
      <w:rFonts w:ascii="Arial" w:hAnsi="Arial"/>
      <w:sz w:val="16"/>
    </w:rPr>
  </w:style>
  <w:style w:type="character" w:customStyle="1" w:styleId="Sample">
    <w:name w:val="Sample"/>
    <w:basedOn w:val="DefaultParagraphFont"/>
    <w:rPr>
      <w:rFonts w:ascii="Courier New" w:hAnsi="Courier New"/>
      <w:rtl w:val="0"/>
    </w:rPr>
  </w:style>
  <w:style w:type="character" w:customStyle="1" w:styleId="WPStrong">
    <w:name w:val="WP_Strong"/>
    <w:basedOn w:val="DefaultParagraphFont"/>
    <w:rPr>
      <w:b/>
      <w:rtl w:val="0"/>
    </w:rPr>
  </w:style>
  <w:style w:type="character" w:customStyle="1" w:styleId="Typewriter">
    <w:name w:val="Typewriter"/>
    <w:basedOn w:val="DefaultParagraphFont"/>
    <w:rPr>
      <w:rFonts w:ascii="Courier New" w:hAnsi="Courier New"/>
      <w:rtl w:val="0"/>
    </w:rPr>
  </w:style>
  <w:style w:type="character" w:customStyle="1" w:styleId="Variable">
    <w:name w:val="Variable"/>
    <w:basedOn w:val="DefaultParagraphFont"/>
    <w:rPr>
      <w:i/>
      <w:rtl w:val="0"/>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styleId="FootnoteText">
    <w:name w:val="footnote text"/>
    <w:basedOn w:val="Normal"/>
    <w:pPr>
      <w:ind w:firstLine="720"/>
      <w:jc w:val="left"/>
    </w:pPr>
  </w:style>
  <w:style w:type="character" w:styleId="FootnoteReference">
    <w:name w:val="footnote reference"/>
    <w:basedOn w:val="DefaultParagraphFont"/>
    <w:rPr>
      <w:vertAlign w:val="superscript"/>
    </w:rPr>
  </w:style>
  <w:style w:type="character" w:styleId="EndnoteReference">
    <w:name w:val="endnote reference"/>
    <w:basedOn w:val="DefaultParagraphFont"/>
    <w:rPr>
      <w:vertAlign w:val="superscript"/>
    </w:rPr>
  </w:style>
  <w:style w:type="paragraph" w:styleId="EndnoteText">
    <w:name w:val="endnote text"/>
    <w:basedOn w:val="Normal"/>
    <w:pPr>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theme" Target="theme/theme1.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