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5 -->
  <w:body>
    <w:p>
      <w:pPr>
        <w:tabs>
          <w:tab w:val="left" w:pos="-1428"/>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sz w:val="28"/>
        </w:rPr>
      </w:pPr>
      <w:r>
        <w:rPr>
          <w:rFonts w:ascii="Times New Roman" w:hAnsi="Times New Roman" w:cs="Times New Roman"/>
        </w:rPr>
        <w:fldChar w:fldCharType="begin"/>
      </w:r>
      <w:r>
        <w:rPr>
          <w:rFonts w:ascii="Times New Roman" w:hAnsi="Times New Roman" w:cs="Times New Roman"/>
        </w:rPr>
        <w:instrText xml:space="preserve"> SEQ CHAPTER \h \r 1</w:instrText>
      </w:r>
      <w:r>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b/>
          <w:sz w:val="28"/>
        </w:rPr>
        <w:t>Dependent Counsel</w:t>
      </w:r>
      <w:r>
        <w:rPr>
          <w:rStyle w:val="FootnoteReference"/>
          <w:rFonts w:ascii="Times New Roman" w:hAnsi="Times New Roman" w:cs="Times New Roman"/>
          <w:b/>
          <w:sz w:val="28"/>
          <w:rtl w:val="0"/>
        </w:rPr>
        <w:footnoteReference w:id="0"/>
      </w:r>
      <w:r>
        <w:rPr>
          <w:rFonts w:ascii="Times New Roman" w:hAnsi="Times New Roman" w:cs="Times New Roman"/>
          <w:b/>
          <w:sz w:val="28"/>
        </w:rPr>
        <w:t xml:space="preserve"> Conflict of Interest Basics</w:t>
      </w:r>
    </w:p>
    <w:p>
      <w:pPr>
        <w:tabs>
          <w:tab w:val="left" w:pos="-1428"/>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rPr>
      </w:pPr>
    </w:p>
    <w:p>
      <w:pPr>
        <w:tabs>
          <w:tab w:val="left" w:pos="-1428"/>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rPr>
      </w:pPr>
      <w:r>
        <w:rPr>
          <w:rFonts w:ascii="Times New Roman" w:hAnsi="Times New Roman" w:cs="Times New Roman"/>
          <w:b/>
        </w:rPr>
        <w:t>The Cumis Rule</w:t>
      </w:r>
    </w:p>
    <w:p>
      <w:pPr>
        <w:tabs>
          <w:tab w:val="left" w:pos="-1428"/>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[Part 1] “Canons of Ethics impose upon lawyers hired by the insurer an obligation to explain to the insured and the insurer the full implications of joint representation in situations where the insurer has reserved its rights to deny coverage. If the insured does not give an informed consent . . . , counsel must cease to represent both.”</w:t>
      </w:r>
      <w:r>
        <w:rPr>
          <w:rStyle w:val="FootnoteReference"/>
          <w:rFonts w:ascii="Times New Roman" w:hAnsi="Times New Roman" w:cs="Times New Roman"/>
          <w:rtl w:val="0"/>
        </w:rPr>
        <w:footnoteReference w:id="1"/>
      </w:r>
    </w:p>
    <w:p>
      <w:pPr>
        <w:tabs>
          <w:tab w:val="left" w:pos="-1428"/>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[Part 2] “Moreover, . . . where there are divergent interests brought about by the insurer’s reservation of rights, . . . the insurer must pay the reasonable cost for hiring independent counsel by the insured. The insurer may not compel the insured to surrender control of the litigation.”</w:t>
      </w:r>
      <w:r>
        <w:rPr>
          <w:rStyle w:val="FootnoteReference"/>
          <w:rFonts w:ascii="Times New Roman" w:hAnsi="Times New Roman" w:cs="Times New Roman"/>
          <w:rtl w:val="0"/>
        </w:rPr>
        <w:footnoteReference w:id="2"/>
      </w:r>
    </w:p>
    <w:p>
      <w:pPr>
        <w:tabs>
          <w:tab w:val="left" w:pos="-1428"/>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 “[T]he Cumis rule is not based on insurance law but on the ethical duty of an attorney to avoid representing conflicting interests.”</w:t>
      </w:r>
      <w:r>
        <w:rPr>
          <w:rStyle w:val="FootnoteReference"/>
          <w:rFonts w:ascii="Times New Roman" w:hAnsi="Times New Roman" w:cs="Times New Roman"/>
          <w:rtl w:val="0"/>
        </w:rPr>
        <w:footnoteReference w:id="3"/>
      </w:r>
    </w:p>
    <w:p>
      <w:pPr>
        <w:tabs>
          <w:tab w:val="left" w:pos="-1428"/>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p>
      <w:pPr>
        <w:tabs>
          <w:tab w:val="left" w:pos="-1428"/>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rPr>
      </w:pPr>
      <w:r>
        <w:rPr>
          <w:rFonts w:ascii="Times New Roman" w:hAnsi="Times New Roman" w:cs="Times New Roman"/>
          <w:b/>
        </w:rPr>
        <w:t>Synthesis of  Rules of Professional Conduct</w:t>
      </w:r>
    </w:p>
    <w:p>
      <w:pPr>
        <w:tabs>
          <w:tab w:val="left" w:pos="-1428"/>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r>
      <w:r>
        <w:rPr>
          <w:rFonts w:ascii="Times New Roman" w:hAnsi="Times New Roman" w:cs="Times New Roman"/>
          <w:b/>
        </w:rPr>
        <w:t>Rule 1.0.1: Definitions</w:t>
      </w:r>
    </w:p>
    <w:p>
      <w:pPr>
        <w:tabs>
          <w:tab w:val="left" w:pos="-1428"/>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(e) “Informed consent” means a (policyholder)’s agreement to a proposed course of conduct after (dependent counsel) has communicated and explained (i) the relevant circumstances and (ii) the material risks, including any actual and reasonably foreseeable adverse consequences of the proposed course of conduct. (e-1) “Informed written consent” means that the disclosures and the consent required by paragraph (e) must be in writing.</w:t>
      </w:r>
    </w:p>
    <w:p>
      <w:pPr>
        <w:tabs>
          <w:tab w:val="left" w:pos="-1428"/>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r>
      <w:r>
        <w:rPr>
          <w:rFonts w:ascii="Times New Roman" w:hAnsi="Times New Roman" w:cs="Times New Roman"/>
          <w:b/>
        </w:rPr>
        <w:t>Rule 1.4: Duty of Disclosure</w:t>
      </w:r>
    </w:p>
    <w:p>
      <w:pPr>
        <w:tabs>
          <w:tab w:val="left" w:pos="-1428"/>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(a) (Dependent counsel) shall: (1) promptly inform (the policyholder) of any decision or circumstance with respect to which disclosure or (the policyholder)’s informed consent is required . . .; (2) reasonably consult with (the policyholder) about the means by which to accomplish (the policyholder)’s objectives in the representation; (3) keep (the policyholder) reasonably informed about significant developments . . .; and (4) advise (the policyholder) about any relevant limitation on (dependent counsel)’s conduct. . . . (b) (dependent counsel) shall explain a matter to the extent reasonably necessary to permit (the policyholder) to make informed decisions regarding the representation.</w:t>
      </w:r>
    </w:p>
    <w:p>
      <w:pPr>
        <w:tabs>
          <w:tab w:val="left" w:pos="-1428"/>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r>
      <w:r>
        <w:rPr>
          <w:rFonts w:ascii="Times New Roman" w:hAnsi="Times New Roman" w:cs="Times New Roman"/>
          <w:b/>
        </w:rPr>
        <w:t>Rule 1.6: Duty of Confidentiality</w:t>
      </w:r>
    </w:p>
    <w:p>
      <w:pPr>
        <w:tabs>
          <w:tab w:val="left" w:pos="-1428"/>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(Dependent counsel) shall not reveal information protected from disclosure by Business and Professions Code section 6068, subdivision (e)(1) unless the (policyholder) gives informed consent. (Bus. &amp; Prof. Code § 6068 “It is the duty of an attorney to do all of the following: (e) (1) To maintain inviolate the confidence, and at every peril to himself or herself to preserve the secrets, of his or her (policyholder).”) Comment [1] (dependent counsel)’s duty to preserve the confidentiality of (policyholder) information involves public policies of paramount importance. </w:t>
      </w:r>
      <w:r>
        <w:rPr>
          <w:rFonts w:ascii="Times New Roman" w:hAnsi="Times New Roman" w:cs="Times New Roman"/>
          <w:i/>
        </w:rPr>
        <w:t xml:space="preserve">(In Re Jordan </w:t>
      </w:r>
      <w:r>
        <w:rPr>
          <w:rFonts w:ascii="Times New Roman" w:hAnsi="Times New Roman" w:cs="Times New Roman"/>
        </w:rPr>
        <w:t>(1974) 12 Cal.3d 575, 580.) Preserving the confidentiality of (policyholder) information contributes to the trust that is the hallmark of the lawyer-client relationship.</w:t>
      </w:r>
    </w:p>
    <w:p>
      <w:pPr>
        <w:tabs>
          <w:tab w:val="left" w:pos="-1428"/>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r>
      <w:r>
        <w:rPr>
          <w:rFonts w:ascii="Times New Roman" w:hAnsi="Times New Roman" w:cs="Times New Roman"/>
          <w:b/>
        </w:rPr>
        <w:t>Rule 1.7: Duty of Undivided Loyalty</w:t>
      </w:r>
    </w:p>
    <w:p>
      <w:pPr>
        <w:tabs>
          <w:tab w:val="left" w:pos="-1428"/>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(Dependent counsel) shall not, without the informed written consent of (the policyholder and a reserving insurer) . . . represent a (policyholder) if the representation is directly adverse to (the reserving insurer). . . . (</w:t>
      </w:r>
      <w:r>
        <w:rPr>
          <w:rFonts w:ascii="Times New Roman" w:hAnsi="Times New Roman" w:cs="Times New Roman"/>
          <w:b/>
        </w:rPr>
        <w:t>or</w:t>
      </w:r>
      <w:r>
        <w:rPr>
          <w:rFonts w:ascii="Times New Roman" w:hAnsi="Times New Roman" w:cs="Times New Roman"/>
        </w:rPr>
        <w:t>) there is a significant risk (dependent counsel)’s representation of the policyholder will be materially limited by (dependent counsel)’s responsibilities to</w:t>
      </w:r>
      <w:r>
        <w:rPr>
          <w:rFonts w:ascii="Times New Roman" w:hAnsi="Times New Roman" w:cs="Times New Roman"/>
          <w:b/>
        </w:rPr>
        <w:t xml:space="preserve"> or</w:t>
      </w:r>
      <w:r>
        <w:rPr>
          <w:rFonts w:ascii="Times New Roman" w:hAnsi="Times New Roman" w:cs="Times New Roman"/>
        </w:rPr>
        <w:t xml:space="preserve"> relationships with (a reserving insurer) . . . </w:t>
      </w:r>
      <w:r>
        <w:rPr>
          <w:rFonts w:ascii="Times New Roman" w:hAnsi="Times New Roman" w:cs="Times New Roman"/>
          <w:b/>
        </w:rPr>
        <w:t>or</w:t>
      </w:r>
      <w:r>
        <w:rPr>
          <w:rFonts w:ascii="Times New Roman" w:hAnsi="Times New Roman" w:cs="Times New Roman"/>
        </w:rPr>
        <w:t xml:space="preserve"> by (dependent counsel)’s own interests. . . . (</w:t>
      </w:r>
      <w:r>
        <w:rPr>
          <w:rFonts w:ascii="Times New Roman" w:hAnsi="Times New Roman" w:cs="Times New Roman"/>
          <w:b/>
        </w:rPr>
        <w:t>and</w:t>
      </w:r>
      <w:r>
        <w:rPr>
          <w:rFonts w:ascii="Times New Roman" w:hAnsi="Times New Roman" w:cs="Times New Roman"/>
        </w:rPr>
        <w:t xml:space="preserve">) the representation is not prohibited by law; </w:t>
      </w:r>
      <w:r>
        <w:rPr>
          <w:rFonts w:ascii="Times New Roman" w:hAnsi="Times New Roman" w:cs="Times New Roman"/>
          <w:b/>
        </w:rPr>
        <w:t>and</w:t>
      </w:r>
      <w:r>
        <w:rPr>
          <w:rFonts w:ascii="Times New Roman" w:hAnsi="Times New Roman" w:cs="Times New Roman"/>
        </w:rPr>
        <w:t xml:space="preserve"> . . . (1) (dependent counsel) reasonably believes that (dependent counsel) will be able to provide competent </w:t>
      </w:r>
      <w:r>
        <w:rPr>
          <w:rFonts w:ascii="Times New Roman" w:hAnsi="Times New Roman" w:cs="Times New Roman"/>
          <w:b/>
        </w:rPr>
        <w:t>and</w:t>
      </w:r>
      <w:r>
        <w:rPr>
          <w:rFonts w:ascii="Times New Roman" w:hAnsi="Times New Roman" w:cs="Times New Roman"/>
        </w:rPr>
        <w:t xml:space="preserve"> diligent representation to (the policyholder and the reserving insurer); (2) the representation is not prohibited by law; </w:t>
      </w:r>
      <w:r>
        <w:rPr>
          <w:rFonts w:ascii="Times New Roman" w:hAnsi="Times New Roman" w:cs="Times New Roman"/>
          <w:b/>
        </w:rPr>
        <w:t>and</w:t>
      </w:r>
      <w:r>
        <w:rPr>
          <w:rFonts w:ascii="Times New Roman" w:hAnsi="Times New Roman" w:cs="Times New Roman"/>
        </w:rPr>
        <w:t xml:space="preserve"> (3) the representation does not involve the assertion of a claim by one reserving insurer against (the policyholder) represented by (dependent counsel). </w:t>
      </w:r>
    </w:p>
    <w:p>
      <w:pPr>
        <w:tabs>
          <w:tab w:val="left" w:pos="-1428"/>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r>
      <w:r>
        <w:rPr>
          <w:rFonts w:ascii="Times New Roman" w:hAnsi="Times New Roman" w:cs="Times New Roman"/>
          <w:b/>
        </w:rPr>
        <w:t>Rule 1.8.6: Insurer Compensation Requires Informed Written Consent</w:t>
      </w:r>
    </w:p>
    <w:p>
      <w:pPr>
        <w:tabs>
          <w:tab w:val="left" w:pos="-1428"/>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(Dependent counsel) shall not . . . accept compensation for representing a (policyholder) from ( a reserving insurer) unless: (a) there is no interference with the (dependent counsel)’s independent professional judgment or with the lawyer-client relationship; (b) information is protected . . .; and (c) (dependent counsel) obtains the (policyholder)’s informed written consent.</w:t>
      </w:r>
    </w:p>
    <w:p>
      <w:pPr>
        <w:tabs>
          <w:tab w:val="left" w:pos="-1428"/>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p>
      <w:pPr>
        <w:tabs>
          <w:tab w:val="left" w:pos="-1428"/>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rPr>
      </w:pPr>
      <w:r>
        <w:rPr>
          <w:rFonts w:ascii="Times New Roman" w:hAnsi="Times New Roman" w:cs="Times New Roman"/>
          <w:b/>
        </w:rPr>
        <w:t>The Cumis Protocol</w:t>
      </w:r>
    </w:p>
    <w:p>
      <w:pPr>
        <w:tabs>
          <w:tab w:val="left" w:pos="-1428"/>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 Cumis Rule and the Rules of Professional Conduct apply whenever a liability insurer agrees to defend its policyholder under any reservation of rights and seeks to appoint dependent counsel to control the defense. Dependent counsel must follow this Cumis Protocol:</w:t>
      </w:r>
    </w:p>
    <w:p>
      <w:pPr>
        <w:tabs>
          <w:tab w:val="left" w:pos="-1428"/>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cs="Times New Roman"/>
        </w:rPr>
      </w:pPr>
      <w:r>
        <w:rPr>
          <w:rFonts w:ascii="Times New Roman" w:hAnsi="Times New Roman" w:cs="Times New Roman"/>
        </w:rPr>
        <w:tab/>
        <w:t xml:space="preserve">1. </w:t>
        <w:tab/>
        <w:t xml:space="preserve">Dependent counsel must </w:t>
      </w:r>
      <w:r>
        <w:rPr>
          <w:rFonts w:ascii="Times New Roman" w:hAnsi="Times New Roman" w:cs="Times New Roman"/>
          <w:b/>
        </w:rPr>
        <w:t>Always</w:t>
      </w:r>
      <w:r>
        <w:rPr>
          <w:rFonts w:ascii="Times New Roman" w:hAnsi="Times New Roman" w:cs="Times New Roman"/>
        </w:rPr>
        <w:t xml:space="preserve"> thoroughly investigate potential conflicts of interest raised by an insurer reservation of rights, or otherwise;</w:t>
      </w:r>
    </w:p>
    <w:p>
      <w:pPr>
        <w:tabs>
          <w:tab w:val="left" w:pos="-1428"/>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cs="Times New Roman"/>
        </w:rPr>
      </w:pPr>
      <w:r>
        <w:rPr>
          <w:rFonts w:ascii="Times New Roman" w:hAnsi="Times New Roman" w:cs="Times New Roman"/>
        </w:rPr>
        <w:tab/>
        <w:t>2.</w:t>
        <w:tab/>
        <w:t xml:space="preserve">Dependent counsel must </w:t>
      </w:r>
      <w:r>
        <w:rPr>
          <w:rFonts w:ascii="Times New Roman" w:hAnsi="Times New Roman" w:cs="Times New Roman"/>
          <w:b/>
        </w:rPr>
        <w:t>Always</w:t>
      </w:r>
      <w:r>
        <w:rPr>
          <w:rFonts w:ascii="Times New Roman" w:hAnsi="Times New Roman" w:cs="Times New Roman"/>
        </w:rPr>
        <w:t xml:space="preserve"> thoroughly analyze potential conflicts of interest raised by an insurer reservation of rights, or otherwise;</w:t>
      </w:r>
    </w:p>
    <w:p>
      <w:pPr>
        <w:tabs>
          <w:tab w:val="left" w:pos="-1428"/>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cs="Times New Roman"/>
        </w:rPr>
      </w:pPr>
      <w:r>
        <w:rPr>
          <w:rFonts w:ascii="Times New Roman" w:hAnsi="Times New Roman" w:cs="Times New Roman"/>
        </w:rPr>
        <w:tab/>
        <w:t xml:space="preserve">3. </w:t>
        <w:tab/>
        <w:t xml:space="preserve">Dependent counsel must </w:t>
      </w:r>
      <w:r>
        <w:rPr>
          <w:rFonts w:ascii="Times New Roman" w:hAnsi="Times New Roman" w:cs="Times New Roman"/>
          <w:b/>
        </w:rPr>
        <w:t>Always</w:t>
      </w:r>
      <w:r>
        <w:rPr>
          <w:rFonts w:ascii="Times New Roman" w:hAnsi="Times New Roman" w:cs="Times New Roman"/>
        </w:rPr>
        <w:t xml:space="preserve"> make written disclosure to the policyholder of its analysis of potential conflicts of interest raised by an insurer’s reservation of rights, or otherwise; and</w:t>
      </w:r>
    </w:p>
    <w:p>
      <w:pPr>
        <w:tabs>
          <w:tab w:val="left" w:pos="-1428"/>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cs="Times New Roman"/>
        </w:rPr>
      </w:pPr>
      <w:r>
        <w:rPr>
          <w:rFonts w:ascii="Times New Roman" w:hAnsi="Times New Roman" w:cs="Times New Roman"/>
        </w:rPr>
        <w:tab/>
        <w:t xml:space="preserve">4. </w:t>
        <w:tab/>
        <w:t xml:space="preserve">Dependent counsel must </w:t>
      </w:r>
      <w:r>
        <w:rPr>
          <w:rFonts w:ascii="Times New Roman" w:hAnsi="Times New Roman" w:cs="Times New Roman"/>
          <w:b/>
        </w:rPr>
        <w:t>Sometimes</w:t>
      </w:r>
      <w:r>
        <w:rPr>
          <w:rFonts w:ascii="Times New Roman" w:hAnsi="Times New Roman" w:cs="Times New Roman"/>
        </w:rPr>
        <w:t xml:space="preserve"> quit. Dependent counsel must refuse or withdraw from the representation unless: 1) its analysis correctly determines that no disqualifying conflict of interest exists because there are no issues of fact or law common to the liability dispute and the each coverage defense reserved; or 2) the policyholder gives informed written consent.</w:t>
      </w:r>
    </w:p>
    <w:p>
      <w:pPr>
        <w:tabs>
          <w:tab w:val="left" w:pos="-1428"/>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p>
      <w:pPr>
        <w:tabs>
          <w:tab w:val="left" w:pos="-1428"/>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rPr>
      </w:pPr>
      <w:r>
        <w:rPr>
          <w:rFonts w:ascii="Times New Roman" w:hAnsi="Times New Roman" w:cs="Times New Roman"/>
          <w:b/>
        </w:rPr>
        <w:t>The Required Quality of Conflict of Interest Analysis</w:t>
      </w:r>
    </w:p>
    <w:p>
      <w:pPr>
        <w:tabs>
          <w:tab w:val="left" w:pos="-1428"/>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Rules 1.0.1 and 1.4 require disclosure by dependent counsel to the policyholder of all information needed so that the policyholder can protect oneself from the reserving insurer and dependent counsel. The law requires that dependent counsel take the initiative to conduct a thorough investigation and objective analysis of all potential conflicts of interest between its two clients, the insurer and the policyholder. The investigation and analysis must include reviewing the third party liability complaint, the policy, the insurer’s reservation of rights letter(s), the logical commonality of coverage defenses and issues in the liability dispute, factual questions that might sustain or defeat coverage, the nature of the available evidence, the risk of policyholder prejudice from discovery of the evidence which tends to support or defeat coverage challenges, and the possible impact of a confidentiality order to protect the policyholder from prejudicial disclosure.</w:t>
      </w:r>
      <w:r>
        <w:rPr>
          <w:rStyle w:val="FootnoteReference"/>
          <w:rFonts w:ascii="Times New Roman" w:hAnsi="Times New Roman" w:cs="Times New Roman"/>
          <w:rtl w:val="0"/>
        </w:rPr>
        <w:footnoteReference w:id="4"/>
      </w:r>
      <w:r>
        <w:rPr>
          <w:rFonts w:ascii="Times New Roman" w:hAnsi="Times New Roman" w:cs="Times New Roman"/>
        </w:rPr>
        <w:t xml:space="preserve"> </w:t>
      </w:r>
    </w:p>
    <w:p>
      <w:pPr>
        <w:tabs>
          <w:tab w:val="left" w:pos="-1428"/>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rPr>
      </w:pPr>
      <w:r>
        <w:rPr>
          <w:rFonts w:ascii="Times New Roman" w:hAnsi="Times New Roman" w:cs="Times New Roman"/>
          <w:b/>
        </w:rPr>
        <w:t>The Cumis Test</w:t>
      </w:r>
    </w:p>
    <w:p>
      <w:pPr>
        <w:tabs>
          <w:tab w:val="left" w:pos="-1428"/>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Neither the Cumis opinion nor Civil Code § 2860 “clearly state when the right to an independent counsel vests.”</w:t>
      </w:r>
      <w:r>
        <w:rPr>
          <w:rStyle w:val="FootnoteReference"/>
          <w:rFonts w:ascii="Times New Roman" w:hAnsi="Times New Roman" w:cs="Times New Roman"/>
          <w:rtl w:val="0"/>
        </w:rPr>
        <w:footnoteReference w:id="5"/>
      </w:r>
      <w:r>
        <w:rPr>
          <w:rFonts w:ascii="Times New Roman" w:hAnsi="Times New Roman" w:cs="Times New Roman"/>
        </w:rPr>
        <w:t xml:space="preserve"> However, in the 37 years since the case has been on the books, the substantive legal test in California has become clear. The Cumis Test has been expressed in a variety of ways, both negatively and positively. Some reported opinions collect cases that do and do not require an insurer to pay for independent counsel. “[T]he insurer may have more than one defense to coverage. In that event, the trial court will need to consider each defense separately.”</w:t>
      </w:r>
      <w:r>
        <w:rPr>
          <w:rStyle w:val="FootnoteReference"/>
          <w:rFonts w:ascii="Times New Roman" w:hAnsi="Times New Roman" w:cs="Times New Roman"/>
          <w:rtl w:val="0"/>
        </w:rPr>
        <w:footnoteReference w:id="6"/>
      </w:r>
      <w:r>
        <w:rPr>
          <w:rFonts w:ascii="Times New Roman" w:hAnsi="Times New Roman" w:cs="Times New Roman"/>
        </w:rPr>
        <w:t xml:space="preserve"> “In the absence of dispute over some underlying fact, the existence of a conflict is a question of law for the trial judge to decide, not a jury question.”</w:t>
      </w:r>
      <w:r>
        <w:rPr>
          <w:rStyle w:val="FootnoteReference"/>
          <w:rFonts w:ascii="Times New Roman" w:hAnsi="Times New Roman" w:cs="Times New Roman"/>
          <w:rtl w:val="0"/>
        </w:rPr>
        <w:footnoteReference w:id="7"/>
      </w:r>
    </w:p>
    <w:p>
      <w:pPr>
        <w:tabs>
          <w:tab w:val="left" w:pos="-1428"/>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 recently published Restatement of Liability Insurance expresses the Cumis Test as follows: “When an insurer with the duty to defend provides the insured notice of a ground for contesting coverage under §15 and there are facts at issue that are common to the legal action for which the defense is due and to the coverage dispute, such that the action could be defended in a manner that would benefit the insurer at the expense of the insured, the insurer must provide an independent defense of the action.”</w:t>
      </w:r>
      <w:r>
        <w:rPr>
          <w:rStyle w:val="FootnoteReference"/>
          <w:rFonts w:ascii="Times New Roman" w:hAnsi="Times New Roman" w:cs="Times New Roman"/>
          <w:rtl w:val="0"/>
        </w:rPr>
        <w:footnoteReference w:id="8"/>
      </w:r>
      <w:r>
        <w:rPr>
          <w:rFonts w:ascii="Times New Roman" w:hAnsi="Times New Roman" w:cs="Times New Roman"/>
        </w:rPr>
        <w:t xml:space="preserve"> Fifty American jurisdictions have addressed the reservation of rights conundrum and the trend is to adopt the Cumis Rule.</w:t>
      </w:r>
      <w:r>
        <w:rPr>
          <w:rStyle w:val="FootnoteReference"/>
          <w:rFonts w:ascii="Times New Roman" w:hAnsi="Times New Roman" w:cs="Times New Roman"/>
          <w:rtl w:val="0"/>
        </w:rPr>
        <w:footnoteReference w:id="9"/>
      </w:r>
      <w:r>
        <w:rPr>
          <w:rFonts w:ascii="Times New Roman" w:hAnsi="Times New Roman" w:cs="Times New Roman"/>
        </w:rPr>
        <w:t xml:space="preserve"> </w:t>
      </w:r>
    </w:p>
    <w:p>
      <w:pPr>
        <w:tabs>
          <w:tab w:val="left" w:pos="-1428"/>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Perhaps the best statement of the Cumis Test is this: “It is only when the basis for the reservation of rights is such as to cause assertion of factual or legal theories which undermine or are contrary to the positions to be asserted in the liability case that a conflict of interest sufficient to require independent counsel, to be chosen by the insured, will arise.”</w:t>
      </w:r>
      <w:r>
        <w:rPr>
          <w:rStyle w:val="FootnoteReference"/>
          <w:rFonts w:ascii="Times New Roman" w:hAnsi="Times New Roman" w:cs="Times New Roman"/>
          <w:rtl w:val="0"/>
        </w:rPr>
        <w:footnoteReference w:id="10"/>
      </w:r>
    </w:p>
    <w:p>
      <w:pPr>
        <w:tabs>
          <w:tab w:val="left" w:pos="-1428"/>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r>
      <w:r>
        <w:rPr>
          <w:rFonts w:ascii="Times New Roman" w:hAnsi="Times New Roman" w:cs="Times New Roman"/>
          <w:i/>
        </w:rPr>
        <w:t>Expressed negatively</w:t>
      </w:r>
      <w:r>
        <w:rPr>
          <w:rFonts w:ascii="Times New Roman" w:hAnsi="Times New Roman" w:cs="Times New Roman"/>
        </w:rPr>
        <w:t xml:space="preserve">, a liability insurer that reserves its rights </w:t>
      </w:r>
      <w:r>
        <w:rPr>
          <w:rFonts w:ascii="Times New Roman" w:hAnsi="Times New Roman" w:cs="Times New Roman"/>
          <w:i/>
        </w:rPr>
        <w:t>is not required</w:t>
      </w:r>
      <w:r>
        <w:rPr>
          <w:rFonts w:ascii="Times New Roman" w:hAnsi="Times New Roman" w:cs="Times New Roman"/>
        </w:rPr>
        <w:t xml:space="preserve"> to pay for independent counsel if each ground upon which the insurer may later deny coverage: 1) has “nothing to do with the issues being litigated in the underlying action;”</w:t>
      </w:r>
      <w:r>
        <w:rPr>
          <w:rStyle w:val="FootnoteReference"/>
          <w:rFonts w:ascii="Times New Roman" w:hAnsi="Times New Roman" w:cs="Times New Roman"/>
          <w:rtl w:val="0"/>
        </w:rPr>
        <w:footnoteReference w:id="11"/>
      </w:r>
      <w:r>
        <w:rPr>
          <w:rFonts w:ascii="Times New Roman" w:hAnsi="Times New Roman" w:cs="Times New Roman"/>
        </w:rPr>
        <w:t xml:space="preserve"> 2) “is logically unrelated to the issues of consequence in the underlying case;”</w:t>
      </w:r>
      <w:r>
        <w:rPr>
          <w:rStyle w:val="FootnoteReference"/>
          <w:rFonts w:ascii="Times New Roman" w:hAnsi="Times New Roman" w:cs="Times New Roman"/>
          <w:rtl w:val="0"/>
        </w:rPr>
        <w:footnoteReference w:id="12"/>
      </w:r>
      <w:r>
        <w:rPr>
          <w:rFonts w:ascii="Times New Roman" w:hAnsi="Times New Roman" w:cs="Times New Roman"/>
        </w:rPr>
        <w:t xml:space="preserve"> 3) “is independent of the issues in the underlying case;”</w:t>
      </w:r>
      <w:r>
        <w:rPr>
          <w:rStyle w:val="FootnoteReference"/>
          <w:rFonts w:ascii="Times New Roman" w:hAnsi="Times New Roman" w:cs="Times New Roman"/>
          <w:rtl w:val="0"/>
        </w:rPr>
        <w:footnoteReference w:id="13"/>
      </w:r>
      <w:r>
        <w:rPr>
          <w:rFonts w:ascii="Times New Roman" w:hAnsi="Times New Roman" w:cs="Times New Roman"/>
        </w:rPr>
        <w:t xml:space="preserve"> 4) “is extrinsic to the issues in the underlying action;”</w:t>
      </w:r>
      <w:r>
        <w:rPr>
          <w:rStyle w:val="FootnoteReference"/>
          <w:rFonts w:ascii="Times New Roman" w:hAnsi="Times New Roman" w:cs="Times New Roman"/>
          <w:rtl w:val="0"/>
        </w:rPr>
        <w:footnoteReference w:id="14"/>
      </w:r>
      <w:r>
        <w:rPr>
          <w:rFonts w:ascii="Times New Roman" w:hAnsi="Times New Roman" w:cs="Times New Roman"/>
        </w:rPr>
        <w:t xml:space="preserve"> or “can be controlled by counsel first retained by the insurer for the defense of the claim.”</w:t>
      </w:r>
      <w:r>
        <w:rPr>
          <w:rStyle w:val="FootnoteReference"/>
          <w:rFonts w:ascii="Times New Roman" w:hAnsi="Times New Roman" w:cs="Times New Roman"/>
          <w:rtl w:val="0"/>
        </w:rPr>
        <w:footnoteReference w:id="15"/>
      </w:r>
    </w:p>
    <w:p>
      <w:pPr>
        <w:tabs>
          <w:tab w:val="left" w:pos="-1428"/>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r>
      <w:r>
        <w:rPr>
          <w:rFonts w:ascii="Times New Roman" w:hAnsi="Times New Roman" w:cs="Times New Roman"/>
          <w:i/>
        </w:rPr>
        <w:t>Expressed positively</w:t>
      </w:r>
      <w:r>
        <w:rPr>
          <w:rFonts w:ascii="Times New Roman" w:hAnsi="Times New Roman" w:cs="Times New Roman"/>
        </w:rPr>
        <w:t xml:space="preserve">, a liability insurer that reserves its rights </w:t>
      </w:r>
      <w:r>
        <w:rPr>
          <w:rFonts w:ascii="Times New Roman" w:hAnsi="Times New Roman" w:cs="Times New Roman"/>
          <w:i/>
        </w:rPr>
        <w:t>is required</w:t>
      </w:r>
      <w:r>
        <w:rPr>
          <w:rFonts w:ascii="Times New Roman" w:hAnsi="Times New Roman" w:cs="Times New Roman"/>
        </w:rPr>
        <w:t xml:space="preserve"> to pay for independent counsel: 1) “whenever [the insurer’s and policyholder’s] common lawyer’s representation of the one is rendered less effective;”</w:t>
      </w:r>
      <w:r>
        <w:rPr>
          <w:rStyle w:val="FootnoteReference"/>
          <w:rFonts w:ascii="Times New Roman" w:hAnsi="Times New Roman" w:cs="Times New Roman"/>
          <w:rtl w:val="0"/>
        </w:rPr>
        <w:footnoteReference w:id="16"/>
      </w:r>
      <w:r>
        <w:rPr>
          <w:rFonts w:ascii="Times New Roman" w:hAnsi="Times New Roman" w:cs="Times New Roman"/>
        </w:rPr>
        <w:t xml:space="preserve"> 2) if coverage issues “overlap” issues in the third party liability action;</w:t>
      </w:r>
      <w:r>
        <w:rPr>
          <w:rStyle w:val="FootnoteReference"/>
          <w:rFonts w:ascii="Times New Roman" w:hAnsi="Times New Roman" w:cs="Times New Roman"/>
          <w:rtl w:val="0"/>
        </w:rPr>
        <w:footnoteReference w:id="17"/>
      </w:r>
      <w:r>
        <w:rPr>
          <w:rFonts w:ascii="Times New Roman" w:hAnsi="Times New Roman" w:cs="Times New Roman"/>
        </w:rPr>
        <w:t xml:space="preserve"> 3) if any coverage question depends “upon the insured’s own conduct;”</w:t>
      </w:r>
      <w:r>
        <w:rPr>
          <w:rStyle w:val="FootnoteReference"/>
          <w:rFonts w:ascii="Times New Roman" w:hAnsi="Times New Roman" w:cs="Times New Roman"/>
          <w:rtl w:val="0"/>
        </w:rPr>
        <w:footnoteReference w:id="18"/>
      </w:r>
      <w:r>
        <w:rPr>
          <w:rFonts w:ascii="Times New Roman" w:hAnsi="Times New Roman" w:cs="Times New Roman"/>
        </w:rPr>
        <w:t xml:space="preserve"> 4) if “[i]nsurance counsel had [an] incentive to attach liability to [the insured];”</w:t>
      </w:r>
      <w:r>
        <w:rPr>
          <w:rStyle w:val="FootnoteReference"/>
          <w:rFonts w:ascii="Times New Roman" w:hAnsi="Times New Roman" w:cs="Times New Roman"/>
          <w:rtl w:val="0"/>
        </w:rPr>
        <w:footnoteReference w:id="19"/>
      </w:r>
      <w:r>
        <w:rPr>
          <w:rFonts w:ascii="Times New Roman" w:hAnsi="Times New Roman" w:cs="Times New Roman"/>
        </w:rPr>
        <w:t xml:space="preserve"> 5) “the ground of noncoverage was based on the nature of the insured’s conduct;”</w:t>
      </w:r>
      <w:r>
        <w:rPr>
          <w:rStyle w:val="FootnoteReference"/>
          <w:rFonts w:ascii="Times New Roman" w:hAnsi="Times New Roman" w:cs="Times New Roman"/>
          <w:rtl w:val="0"/>
        </w:rPr>
        <w:footnoteReference w:id="20"/>
      </w:r>
      <w:r>
        <w:rPr>
          <w:rFonts w:ascii="Times New Roman" w:hAnsi="Times New Roman" w:cs="Times New Roman"/>
        </w:rPr>
        <w:t xml:space="preserve"> 6) “the outcome of the coverage issue can be controlled by the way counsel defends the case;”</w:t>
      </w:r>
      <w:r>
        <w:rPr>
          <w:rStyle w:val="FootnoteReference"/>
          <w:rFonts w:ascii="Times New Roman" w:hAnsi="Times New Roman" w:cs="Times New Roman"/>
          <w:rtl w:val="0"/>
        </w:rPr>
        <w:footnoteReference w:id="21"/>
      </w:r>
      <w:r>
        <w:rPr>
          <w:rFonts w:ascii="Times New Roman" w:hAnsi="Times New Roman" w:cs="Times New Roman"/>
        </w:rPr>
        <w:t xml:space="preserve"> 7) “the way counsel retained by the insurance company defends the action will affect an underlying coverage dispute between the insurer and the insured;”</w:t>
      </w:r>
      <w:r>
        <w:rPr>
          <w:rStyle w:val="FootnoteReference"/>
          <w:rFonts w:ascii="Times New Roman" w:hAnsi="Times New Roman" w:cs="Times New Roman"/>
          <w:rtl w:val="0"/>
        </w:rPr>
        <w:footnoteReference w:id="22"/>
      </w:r>
      <w:r>
        <w:rPr>
          <w:rFonts w:ascii="Times New Roman" w:hAnsi="Times New Roman" w:cs="Times New Roman"/>
        </w:rPr>
        <w:t xml:space="preserve"> 8) “the basis for the reservation of rights is such as to cause assertion of factual or legal theories which undermine the positions to be asserted in the liability case;”</w:t>
      </w:r>
      <w:r>
        <w:rPr>
          <w:rStyle w:val="FootnoteReference"/>
          <w:rFonts w:ascii="Times New Roman" w:hAnsi="Times New Roman" w:cs="Times New Roman"/>
          <w:rtl w:val="0"/>
        </w:rPr>
        <w:footnoteReference w:id="23"/>
      </w:r>
      <w:r>
        <w:rPr>
          <w:rFonts w:ascii="Times New Roman" w:hAnsi="Times New Roman" w:cs="Times New Roman"/>
        </w:rPr>
        <w:t xml:space="preserve"> and 9) “where the issue creating the conflict is one which must be decided in the underlying action.”</w:t>
      </w:r>
      <w:r>
        <w:rPr>
          <w:rStyle w:val="FootnoteReference"/>
          <w:rFonts w:ascii="Times New Roman" w:hAnsi="Times New Roman" w:cs="Times New Roman"/>
          <w:rtl w:val="0"/>
        </w:rPr>
        <w:footnoteReference w:id="24"/>
      </w:r>
    </w:p>
    <w:sectPr>
      <w:headerReference w:type="even" r:id="rId5"/>
      <w:headerReference w:type="default" r:id="rId6"/>
      <w:footerReference w:type="even" r:id="rId7"/>
      <w:footerReference w:type="default" r:id="rId8"/>
      <w:endnotePr>
        <w:numFmt w:val="decimal"/>
      </w:endnotePr>
      <w:pgSz w:w="12240" w:h="15840"/>
      <w:pgMar w:top="1440" w:right="1440" w:bottom="1200" w:left="1440" w:header="720" w:footer="720" w:gutter="0"/>
      <w:cols w:space="72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2"/>
    <w:family w:val="roman"/>
    <w:pitch w:val="variable"/>
    <w:sig w:usb0="00000000" w:usb1="00000000" w:usb2="00000000" w:usb3="00000000" w:csb0="80000000" w:csb1="00000000"/>
  </w:font>
  <w:font w:name="Arial">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framePr w:w="9360" w:h="280" w:hRule="exact" w:wrap="notBeside" w:vAnchor="page" w:xAlign="left" w:y="15120"/>
      <w:shd w:val="clear"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textDirection w:val="lrTb"/>
      <w:rPr>
        <w:rFonts w:ascii="Times New Roman" w:hAnsi="Times New Roman" w:cs="Times New Roman"/>
        <w:vanish/>
      </w:rPr>
    </w:pP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Pr>
        <w:rFonts w:ascii="Times New Roman" w:hAnsi="Times New Roman" w:cs="Times New Roman"/>
      </w:rPr>
      <w:t>XXX</w:t>
    </w:r>
    <w:r>
      <w:rPr>
        <w:rFonts w:ascii="Times New Roman" w:hAnsi="Times New Roman" w:cs="Times New Roman"/>
      </w:rPr>
      <w:fldChar w:fldCharType="end"/>
    </w:r>
    <w:r>
      <w:rPr>
        <w:rFonts w:ascii="Times New Roman" w:hAnsi="Times New Roman" w:cs="Times New Roman"/>
      </w:rPr>
      <w:t>-</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framePr w:w="9360" w:h="280" w:hRule="exact" w:wrap="notBeside" w:vAnchor="page" w:xAlign="left" w:y="15120"/>
      <w:shd w:val="clear"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textDirection w:val="lrTb"/>
      <w:rPr>
        <w:rFonts w:ascii="Times New Roman" w:hAnsi="Times New Roman" w:cs="Times New Roman"/>
        <w:vanish/>
      </w:rPr>
    </w:pP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Pr>
        <w:rFonts w:ascii="Times New Roman" w:hAnsi="Times New Roman" w:cs="Times New Roman"/>
      </w:rPr>
      <w:t>XXX</w:t>
    </w:r>
    <w:r>
      <w:rPr>
        <w:rFonts w:ascii="Times New Roman" w:hAnsi="Times New Roman" w:cs="Times New Roman"/>
      </w:rPr>
      <w:fldChar w:fldCharType="end"/>
    </w:r>
    <w:r>
      <w:rPr>
        <w:rFonts w:ascii="Times New Roman" w:hAnsi="Times New Roman" w:cs="Times New Roman"/>
      </w:rPr>
      <w:t>-</w:t>
    </w:r>
  </w:p>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The phrase “</w:t>
      </w:r>
      <w:r>
        <w:rPr>
          <w:rFonts w:ascii="Times New Roman" w:hAnsi="Times New Roman" w:cs="Times New Roman"/>
          <w:b/>
        </w:rPr>
        <w:t>de</w:t>
      </w:r>
      <w:r>
        <w:rPr>
          <w:rFonts w:ascii="Times New Roman" w:hAnsi="Times New Roman" w:cs="Times New Roman"/>
        </w:rPr>
        <w:t>pendent counsel” describes the counterpart to “</w:t>
      </w:r>
      <w:r>
        <w:rPr>
          <w:rFonts w:ascii="Times New Roman" w:hAnsi="Times New Roman" w:cs="Times New Roman"/>
          <w:b/>
        </w:rPr>
        <w:t>in</w:t>
      </w:r>
      <w:r>
        <w:rPr>
          <w:rFonts w:ascii="Times New Roman" w:hAnsi="Times New Roman" w:cs="Times New Roman"/>
        </w:rPr>
        <w:t>dependent counsel.”</w:t>
      </w:r>
    </w:p>
  </w:footnote>
  <w:footnote w:id="1">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San Diego Navy Fed. Credit Union v. Cumis Ins. Society, Inc.</w:t>
      </w:r>
      <w:r>
        <w:rPr>
          <w:rFonts w:ascii="Times New Roman" w:hAnsi="Times New Roman" w:cs="Times New Roman"/>
        </w:rPr>
        <w:t xml:space="preserve"> (1984) 162 Cal.App.3d 358, 375 (</w:t>
      </w:r>
      <w:r>
        <w:rPr>
          <w:rFonts w:ascii="Times New Roman" w:hAnsi="Times New Roman" w:cs="Times New Roman"/>
          <w:i/>
        </w:rPr>
        <w:t>Cumis</w:t>
      </w:r>
      <w:r>
        <w:rPr>
          <w:rFonts w:ascii="Times New Roman" w:hAnsi="Times New Roman" w:cs="Times New Roman"/>
        </w:rPr>
        <w:t>). (LexisNexis rates the Cumis decision among the ten most significant liability coverage cases of all time. (https://www.lexisnexis.com/legal newsroom/ insurance/b/insurance-coverage/archive/2015/02/19/the-10-most-significant-liability-coverage-cases-of-all-time.aspx#sthash.84WjDLV0.dpuf).</w:t>
      </w:r>
    </w:p>
  </w:footnote>
  <w:footnote w:id="2">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Ibid</w:t>
      </w:r>
      <w:r>
        <w:rPr>
          <w:rFonts w:ascii="Times New Roman" w:hAnsi="Times New Roman" w:cs="Times New Roman"/>
        </w:rPr>
        <w:t>.</w:t>
      </w:r>
    </w:p>
  </w:footnote>
  <w:footnote w:id="3">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Golden Eagle Ins. Co. v. Foremost Ins. Co.</w:t>
      </w:r>
      <w:r>
        <w:rPr>
          <w:rFonts w:ascii="Times New Roman" w:hAnsi="Times New Roman" w:cs="Times New Roman"/>
        </w:rPr>
        <w:t xml:space="preserve"> (1993) 20 Cal. App.4th 1372, 1394 (</w:t>
      </w:r>
      <w:r>
        <w:rPr>
          <w:rFonts w:ascii="Times New Roman" w:hAnsi="Times New Roman" w:cs="Times New Roman"/>
          <w:i/>
        </w:rPr>
        <w:t>Golden Eagle</w:t>
      </w:r>
      <w:r>
        <w:rPr>
          <w:rFonts w:ascii="Times New Roman" w:hAnsi="Times New Roman" w:cs="Times New Roman"/>
        </w:rPr>
        <w:t>); see also, “The obligation of an insurer to provide independent Cumis counsel for an insured is premised on the ethical inability of an attorney to represent conflicting interests.” (</w:t>
      </w:r>
      <w:r>
        <w:rPr>
          <w:rFonts w:ascii="Times New Roman" w:hAnsi="Times New Roman" w:cs="Times New Roman"/>
          <w:i/>
        </w:rPr>
        <w:t>United Pac. Ins. Co. v. Hall</w:t>
      </w:r>
      <w:r>
        <w:rPr>
          <w:rFonts w:ascii="Times New Roman" w:hAnsi="Times New Roman" w:cs="Times New Roman"/>
        </w:rPr>
        <w:t xml:space="preserve"> (1988) 199 Cal. App.3d 551, 556.) “The Cumis opinion was based heavily on the canons of ethics and the possibly conflicting choices confronting an attorney” (</w:t>
      </w:r>
      <w:r>
        <w:rPr>
          <w:rFonts w:ascii="Times New Roman" w:hAnsi="Times New Roman" w:cs="Times New Roman"/>
          <w:i/>
        </w:rPr>
        <w:t>Blanchard v. State Farm Fire &amp; Casualty Co.</w:t>
      </w:r>
      <w:r>
        <w:rPr>
          <w:rFonts w:ascii="Times New Roman" w:hAnsi="Times New Roman" w:cs="Times New Roman"/>
        </w:rPr>
        <w:t xml:space="preserve"> (1991) 2 Cal.App.4th 345, 350 (</w:t>
      </w:r>
      <w:r>
        <w:rPr>
          <w:rFonts w:ascii="Times New Roman" w:hAnsi="Times New Roman" w:cs="Times New Roman"/>
          <w:i/>
        </w:rPr>
        <w:t>Blanchard</w:t>
      </w:r>
      <w:r>
        <w:rPr>
          <w:rFonts w:ascii="Times New Roman" w:hAnsi="Times New Roman" w:cs="Times New Roman"/>
        </w:rPr>
        <w:t>).) “Cumis is based on ethical standards, not on insurance concepts.” (</w:t>
      </w:r>
      <w:r>
        <w:rPr>
          <w:rFonts w:ascii="Times New Roman" w:hAnsi="Times New Roman" w:cs="Times New Roman"/>
          <w:i/>
        </w:rPr>
        <w:t>Mosier v. S. Cal. Physicians Ins. Exch.</w:t>
      </w:r>
      <w:r>
        <w:rPr>
          <w:rFonts w:ascii="Times New Roman" w:hAnsi="Times New Roman" w:cs="Times New Roman"/>
        </w:rPr>
        <w:t xml:space="preserve"> (1998) 63 Cal. App.4th 1022, 1042.)</w:t>
      </w:r>
    </w:p>
  </w:footnote>
  <w:footnote w:id="4">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Haskel, Inc. v. Superior Court</w:t>
      </w:r>
      <w:r>
        <w:rPr>
          <w:rFonts w:ascii="Times New Roman" w:hAnsi="Times New Roman" w:cs="Times New Roman"/>
        </w:rPr>
        <w:t xml:space="preserve"> (1995) 33 Cal.App.4th 963, 980.</w:t>
      </w:r>
    </w:p>
  </w:footnote>
  <w:footnote w:id="5">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Dynamic Concepts, Inc. v. Truck Ins. Exchange</w:t>
      </w:r>
      <w:r>
        <w:rPr>
          <w:rFonts w:ascii="Times New Roman" w:hAnsi="Times New Roman" w:cs="Times New Roman"/>
        </w:rPr>
        <w:t xml:space="preserve"> (1998) 61 Cal.App.4th 999, 1007 (</w:t>
      </w:r>
      <w:r>
        <w:rPr>
          <w:rFonts w:ascii="Times New Roman" w:hAnsi="Times New Roman" w:cs="Times New Roman"/>
          <w:i/>
        </w:rPr>
        <w:t xml:space="preserve"> Dynamic Concepts</w:t>
      </w:r>
      <w:r>
        <w:rPr>
          <w:rFonts w:ascii="Times New Roman" w:hAnsi="Times New Roman" w:cs="Times New Roman"/>
        </w:rPr>
        <w:t>).</w:t>
      </w:r>
    </w:p>
  </w:footnote>
  <w:footnote w:id="6">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Montrose Chemical Corp. v. Superior Court</w:t>
      </w:r>
      <w:r>
        <w:rPr>
          <w:rFonts w:ascii="Times New Roman" w:hAnsi="Times New Roman" w:cs="Times New Roman"/>
        </w:rPr>
        <w:t xml:space="preserve"> (1993) 6 Cal.4th 287, 306 (conc. opn. of Kennard, J.) (</w:t>
      </w:r>
      <w:r>
        <w:rPr>
          <w:rFonts w:ascii="Times New Roman" w:hAnsi="Times New Roman" w:cs="Times New Roman"/>
          <w:i/>
        </w:rPr>
        <w:t>Montrose I</w:t>
      </w:r>
      <w:r>
        <w:rPr>
          <w:rFonts w:ascii="Times New Roman" w:hAnsi="Times New Roman" w:cs="Times New Roman"/>
        </w:rPr>
        <w:t>).</w:t>
      </w:r>
    </w:p>
  </w:footnote>
  <w:footnote w:id="7">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Blanchard, supra</w:t>
      </w:r>
      <w:r>
        <w:rPr>
          <w:rFonts w:ascii="Times New Roman" w:hAnsi="Times New Roman" w:cs="Times New Roman"/>
        </w:rPr>
        <w:t xml:space="preserve"> 2 Cal.App.4th at 350.</w:t>
      </w:r>
    </w:p>
  </w:footnote>
  <w:footnote w:id="8">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Rest. Liab. Ins. §16. The Obligation to Provide an Independent Defense.</w:t>
      </w:r>
    </w:p>
  </w:footnote>
  <w:footnote w:id="9">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See, 50 State Survey – Do Conflicts of Interest Arising from a Liability Insurer’s Reservation of Rights Require Payment of Independent Counsel? at DutytoDefend.com.</w:t>
      </w:r>
    </w:p>
  </w:footnote>
  <w:footnote w:id="10">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State Farm Fire &amp; Cas. Co. v. Superior Court</w:t>
      </w:r>
      <w:r>
        <w:rPr>
          <w:rFonts w:ascii="Times New Roman" w:hAnsi="Times New Roman" w:cs="Times New Roman"/>
        </w:rPr>
        <w:t xml:space="preserve"> (1989) 216 Cal.App.3d 1222, 1226, fn.3 (</w:t>
      </w:r>
      <w:r>
        <w:rPr>
          <w:rFonts w:ascii="Times New Roman" w:hAnsi="Times New Roman" w:cs="Times New Roman"/>
          <w:i/>
        </w:rPr>
        <w:t>State Farm</w:t>
      </w:r>
      <w:r>
        <w:rPr>
          <w:rFonts w:ascii="Times New Roman" w:hAnsi="Times New Roman" w:cs="Times New Roman"/>
        </w:rPr>
        <w:t>).</w:t>
      </w:r>
    </w:p>
  </w:footnote>
  <w:footnote w:id="11">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Long v. Century Indemnity Co.</w:t>
      </w:r>
      <w:r>
        <w:rPr>
          <w:rFonts w:ascii="Times New Roman" w:hAnsi="Times New Roman" w:cs="Times New Roman"/>
        </w:rPr>
        <w:t xml:space="preserve"> (2008) 163 Cal.App.4th 1460, 1470 (citation and ellipsis omitted).</w:t>
      </w:r>
    </w:p>
  </w:footnote>
  <w:footnote w:id="12">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Montrose, supra</w:t>
      </w:r>
      <w:r>
        <w:rPr>
          <w:rFonts w:ascii="Times New Roman" w:hAnsi="Times New Roman" w:cs="Times New Roman"/>
        </w:rPr>
        <w:t xml:space="preserve"> 6 Cal.4th at 302.</w:t>
      </w:r>
    </w:p>
  </w:footnote>
  <w:footnote w:id="13">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Blanchard, supra</w:t>
      </w:r>
      <w:r>
        <w:rPr>
          <w:rFonts w:ascii="Times New Roman" w:hAnsi="Times New Roman" w:cs="Times New Roman"/>
        </w:rPr>
        <w:t xml:space="preserve">, 2 Cal.App.4th 345; see also, </w:t>
      </w:r>
      <w:r>
        <w:rPr>
          <w:rFonts w:ascii="Times New Roman" w:hAnsi="Times New Roman" w:cs="Times New Roman"/>
          <w:i/>
        </w:rPr>
        <w:t>Gafcon, Inc. v. Ponsor &amp; Associates</w:t>
      </w:r>
      <w:r>
        <w:rPr>
          <w:rFonts w:ascii="Times New Roman" w:hAnsi="Times New Roman" w:cs="Times New Roman"/>
        </w:rPr>
        <w:t xml:space="preserve"> (2002) 98 Cal.App.4th 1388, 1422 (</w:t>
      </w:r>
      <w:r>
        <w:rPr>
          <w:rFonts w:ascii="Times New Roman" w:hAnsi="Times New Roman" w:cs="Times New Roman"/>
          <w:i/>
        </w:rPr>
        <w:t>Gafcon</w:t>
      </w:r>
      <w:r>
        <w:rPr>
          <w:rFonts w:ascii="Times New Roman" w:hAnsi="Times New Roman" w:cs="Times New Roman"/>
        </w:rPr>
        <w:t>).</w:t>
      </w:r>
    </w:p>
  </w:footnote>
  <w:footnote w:id="14">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Gafcon, supra</w:t>
      </w:r>
      <w:r>
        <w:rPr>
          <w:rFonts w:ascii="Times New Roman" w:hAnsi="Times New Roman" w:cs="Times New Roman"/>
        </w:rPr>
        <w:t>, 98 Cal.App.4th at 1422.</w:t>
      </w:r>
    </w:p>
  </w:footnote>
  <w:footnote w:id="15">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Civ. Code § 2860(b).</w:t>
      </w:r>
    </w:p>
  </w:footnote>
  <w:footnote w:id="16">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Spindle v. Chubb/Pacific Indemnity Group</w:t>
      </w:r>
      <w:r>
        <w:rPr>
          <w:rFonts w:ascii="Times New Roman" w:hAnsi="Times New Roman" w:cs="Times New Roman"/>
        </w:rPr>
        <w:t xml:space="preserve"> (1979) 89 Cal.App.3d 706, 713.</w:t>
      </w:r>
    </w:p>
  </w:footnote>
  <w:footnote w:id="17">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United Enterprises, Inc. v. Superior Court</w:t>
      </w:r>
      <w:r>
        <w:rPr>
          <w:rFonts w:ascii="Times New Roman" w:hAnsi="Times New Roman" w:cs="Times New Roman"/>
        </w:rPr>
        <w:t xml:space="preserve"> (2010) 183 Cal. App. 4th 1004, 1010.</w:t>
      </w:r>
    </w:p>
  </w:footnote>
  <w:footnote w:id="18">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Foremost Ins. Co. v. Wilks</w:t>
      </w:r>
      <w:r>
        <w:rPr>
          <w:rFonts w:ascii="Times New Roman" w:hAnsi="Times New Roman" w:cs="Times New Roman"/>
        </w:rPr>
        <w:t xml:space="preserve"> (1988) 206 Cal.App.3d 251, 261 (</w:t>
      </w:r>
      <w:r>
        <w:rPr>
          <w:rFonts w:ascii="Times New Roman" w:hAnsi="Times New Roman" w:cs="Times New Roman"/>
          <w:i/>
        </w:rPr>
        <w:t>Wilks</w:t>
      </w:r>
      <w:r>
        <w:rPr>
          <w:rFonts w:ascii="Times New Roman" w:hAnsi="Times New Roman" w:cs="Times New Roman"/>
        </w:rPr>
        <w:t>).</w:t>
      </w:r>
    </w:p>
  </w:footnote>
  <w:footnote w:id="19">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Berger, Kahn, supra</w:t>
      </w:r>
      <w:r>
        <w:rPr>
          <w:rFonts w:ascii="Times New Roman" w:hAnsi="Times New Roman" w:cs="Times New Roman"/>
        </w:rPr>
        <w:t>, 79 Cal.App.4th at 131.</w:t>
      </w:r>
    </w:p>
  </w:footnote>
  <w:footnote w:id="20">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McGee v. Superior Court</w:t>
      </w:r>
      <w:r>
        <w:rPr>
          <w:rFonts w:ascii="Times New Roman" w:hAnsi="Times New Roman" w:cs="Times New Roman"/>
        </w:rPr>
        <w:t xml:space="preserve"> (1985) 176 Cal.App.3d 221, 226 (</w:t>
      </w:r>
      <w:r>
        <w:rPr>
          <w:rFonts w:ascii="Times New Roman" w:hAnsi="Times New Roman" w:cs="Times New Roman"/>
          <w:i/>
        </w:rPr>
        <w:t>McGee</w:t>
      </w:r>
      <w:r>
        <w:rPr>
          <w:rFonts w:ascii="Times New Roman" w:hAnsi="Times New Roman" w:cs="Times New Roman"/>
        </w:rPr>
        <w:t>).</w:t>
      </w:r>
    </w:p>
  </w:footnote>
  <w:footnote w:id="21">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Novak v. Low, Ball &amp; Lynch</w:t>
      </w:r>
      <w:r>
        <w:rPr>
          <w:rFonts w:ascii="Times New Roman" w:hAnsi="Times New Roman" w:cs="Times New Roman"/>
        </w:rPr>
        <w:t xml:space="preserve"> (1999) 77 Cal.App.4th 278, 282; Civ.Code § 2860(a).</w:t>
      </w:r>
    </w:p>
  </w:footnote>
  <w:footnote w:id="22">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James 3 Corp. v. Truck Ins. Exchange</w:t>
      </w:r>
      <w:r>
        <w:rPr>
          <w:rFonts w:ascii="Times New Roman" w:hAnsi="Times New Roman" w:cs="Times New Roman"/>
        </w:rPr>
        <w:t xml:space="preserve"> (2001) 91 Cal.App.4th 1093, 1108.</w:t>
      </w:r>
    </w:p>
  </w:footnote>
  <w:footnote w:id="23">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State Farm, supra</w:t>
      </w:r>
      <w:r>
        <w:rPr>
          <w:rFonts w:ascii="Times New Roman" w:hAnsi="Times New Roman" w:cs="Times New Roman"/>
        </w:rPr>
        <w:t>, 216 Cal.App.3d at 1226, fn.3.</w:t>
      </w:r>
    </w:p>
  </w:footnote>
  <w:footnote w:id="24">
    <w:p>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w:t>
      </w:r>
      <w:r>
        <w:rPr>
          <w:rFonts w:ascii="Times New Roman" w:hAnsi="Times New Roman" w:cs="Times New Roman"/>
          <w:i/>
        </w:rPr>
        <w:t>Truck Ins. Exchange v. Superior Court</w:t>
      </w:r>
      <w:r>
        <w:rPr>
          <w:rFonts w:ascii="Times New Roman" w:hAnsi="Times New Roman" w:cs="Times New Roman"/>
        </w:rPr>
        <w:t xml:space="preserve"> (1996) 51 Cal.App.4th 985, 994; see also, </w:t>
      </w:r>
      <w:r>
        <w:rPr>
          <w:rFonts w:ascii="Times New Roman" w:hAnsi="Times New Roman" w:cs="Times New Roman"/>
          <w:i/>
        </w:rPr>
        <w:t>Golden Eagle, supra</w:t>
      </w:r>
      <w:r>
        <w:rPr>
          <w:rFonts w:ascii="Times New Roman" w:hAnsi="Times New Roman" w:cs="Times New Roman"/>
        </w:rPr>
        <w:t>, 20 Cal. App. 4th at 1395-1396.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efaultTabStop w:val="720"/>
  <w:doNotHyphenateCaps/>
  <w:evenAndOddHeaders/>
  <w:displayHorizontalDrawingGridEvery w:val="0"/>
  <w:doNotShadeFormData/>
  <w:noPunctuationKerning/>
  <w:characterSpacingControl w:val="doNotCompress"/>
  <w:endnotePr>
    <w:numFmt w:val="decimal"/>
  </w:endnotePr>
  <w:compat>
    <w:noTabHangInd/>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m:mathPr>
    <m:mathFont m:val="Times New Roman"/>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autoSpaceDN/>
      <w:bidi w:val="0"/>
      <w:adjustRightInd/>
      <w:ind w:left="0" w:right="0"/>
      <w:jc w:val="left"/>
      <w:textAlignment w:val="auto"/>
    </w:pPr>
    <w:rPr>
      <w:sz w:val="24"/>
      <w:szCs w:val="20"/>
      <w:rtl w:val="0"/>
      <w:lang w:val="en-US"/>
    </w:rPr>
  </w:style>
  <w:style w:type="character" w:default="1" w:styleId="DefaultParagraphFont">
    <w:name w:val="Default Paragraph Font"/>
  </w:style>
  <w:style w:type="character" w:styleId="FootnoteReference">
    <w:name w:val="footnote reference"/>
    <w:basedOn w:val="DefaultParagraphFont"/>
    <w:rPr>
      <w:vertAlign w:val="superscript"/>
    </w:rPr>
  </w:style>
  <w:style w:type="paragraph" w:styleId="FootnoteText">
    <w:name w:val="footnote text"/>
    <w:basedOn w:val="Normal"/>
    <w:pPr>
      <w:ind w:firstLine="720"/>
      <w:jc w:val="left"/>
    </w:pPr>
  </w:style>
  <w:style w:type="character" w:styleId="EndnoteReference">
    <w:name w:val="endnote reference"/>
    <w:basedOn w:val="DefaultParagraphFont"/>
    <w:rPr>
      <w:vertAlign w:val="superscript"/>
    </w:rPr>
  </w:style>
  <w:style w:type="paragraph" w:styleId="EndnoteText">
    <w:name w:val="endnote text"/>
    <w:basedOn w:val="Normal"/>
    <w:pPr>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